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A39" w:rsidRPr="00191F4F" w:rsidRDefault="00191F4F" w:rsidP="00191F4F">
      <w:pPr>
        <w:spacing w:after="150"/>
        <w:jc w:val="both"/>
        <w:rPr>
          <w:rFonts w:ascii="Times New Roman" w:hAnsi="Times New Roman" w:cs="Times New Roman"/>
          <w:sz w:val="24"/>
          <w:szCs w:val="24"/>
          <w:lang w:val="sr-Cyrl-RS"/>
        </w:rPr>
      </w:pPr>
      <w:bookmarkStart w:id="0" w:name="_GoBack"/>
      <w:bookmarkEnd w:id="0"/>
      <w:r w:rsidRPr="00191F4F">
        <w:rPr>
          <w:rFonts w:ascii="Times New Roman" w:hAnsi="Times New Roman" w:cs="Times New Roman"/>
          <w:color w:val="000000"/>
          <w:sz w:val="24"/>
          <w:szCs w:val="24"/>
          <w:lang w:val="sr-Cyrl-RS"/>
        </w:rPr>
        <w:t>На основу члана 46б став 10. Закона о странцима („Службени гласник РС”, бр. 24/18, 31/19 и 62/23), члана 17. став 4. и члана 24. став 2. Закона о Влади („Службени гласник РС”, бр. 55/05, 71/05 – исправка, 101/07, 65/08, 16/11, 68/12 – УС, 72/12, 7/14 – УС, 44/14 и 30/18),</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Министар надлежан за унутрашње послове и министар надлежан за послове запошљавања споразумно доносе</w:t>
      </w:r>
    </w:p>
    <w:p w:rsidR="00F47A39" w:rsidRPr="00191F4F" w:rsidRDefault="00191F4F">
      <w:pPr>
        <w:spacing w:after="225"/>
        <w:jc w:val="center"/>
        <w:rPr>
          <w:rFonts w:ascii="Times New Roman" w:hAnsi="Times New Roman" w:cs="Times New Roman"/>
          <w:sz w:val="24"/>
          <w:szCs w:val="24"/>
          <w:lang w:val="sr-Cyrl-RS"/>
        </w:rPr>
      </w:pPr>
      <w:r w:rsidRPr="00191F4F">
        <w:rPr>
          <w:rFonts w:ascii="Times New Roman" w:hAnsi="Times New Roman" w:cs="Times New Roman"/>
          <w:b/>
          <w:color w:val="000000"/>
          <w:sz w:val="24"/>
          <w:szCs w:val="24"/>
          <w:lang w:val="sr-Cyrl-RS"/>
        </w:rPr>
        <w:t>ПРАВИЛНИК</w:t>
      </w:r>
    </w:p>
    <w:p w:rsidR="00F47A39" w:rsidRPr="00191F4F" w:rsidRDefault="00191F4F">
      <w:pPr>
        <w:spacing w:after="225"/>
        <w:jc w:val="center"/>
        <w:rPr>
          <w:rFonts w:ascii="Times New Roman" w:hAnsi="Times New Roman" w:cs="Times New Roman"/>
          <w:sz w:val="24"/>
          <w:szCs w:val="24"/>
          <w:lang w:val="sr-Cyrl-RS"/>
        </w:rPr>
      </w:pPr>
      <w:r w:rsidRPr="00191F4F">
        <w:rPr>
          <w:rFonts w:ascii="Times New Roman" w:hAnsi="Times New Roman" w:cs="Times New Roman"/>
          <w:b/>
          <w:color w:val="000000"/>
          <w:sz w:val="24"/>
          <w:szCs w:val="24"/>
          <w:lang w:val="sr-Cyrl-RS"/>
        </w:rPr>
        <w:t>o издавању јединствене дозволе за привремени боравак и рад странца</w:t>
      </w:r>
    </w:p>
    <w:p w:rsidR="00F47A39" w:rsidRPr="00646CF9" w:rsidRDefault="00646CF9">
      <w:pPr>
        <w:spacing w:after="120"/>
        <w:jc w:val="center"/>
        <w:rPr>
          <w:rFonts w:ascii="Times New Roman" w:hAnsi="Times New Roman" w:cs="Times New Roman"/>
          <w:sz w:val="24"/>
          <w:szCs w:val="24"/>
          <w:lang w:val="sr-Cyrl-RS"/>
        </w:rPr>
      </w:pPr>
      <w:r>
        <w:rPr>
          <w:rFonts w:ascii="Times New Roman" w:hAnsi="Times New Roman" w:cs="Times New Roman"/>
          <w:color w:val="000000"/>
          <w:sz w:val="24"/>
          <w:szCs w:val="24"/>
          <w:lang w:val="sr-Cyrl-RS"/>
        </w:rPr>
        <w:t>(</w:t>
      </w:r>
      <w:r w:rsidR="00191F4F">
        <w:rPr>
          <w:rFonts w:ascii="Times New Roman" w:hAnsi="Times New Roman" w:cs="Times New Roman"/>
          <w:color w:val="000000"/>
          <w:sz w:val="24"/>
          <w:szCs w:val="24"/>
          <w:lang w:val="sr-Cyrl-RS"/>
        </w:rPr>
        <w:t>„</w:t>
      </w:r>
      <w:r w:rsidR="00191F4F" w:rsidRPr="00191F4F">
        <w:rPr>
          <w:rFonts w:ascii="Times New Roman" w:hAnsi="Times New Roman" w:cs="Times New Roman"/>
          <w:color w:val="000000"/>
          <w:sz w:val="24"/>
          <w:szCs w:val="24"/>
          <w:lang w:val="sr-Cyrl-RS"/>
        </w:rPr>
        <w:t>Службени гласник РС</w:t>
      </w:r>
      <w:r w:rsidR="00191F4F">
        <w:rPr>
          <w:rFonts w:ascii="Times New Roman" w:hAnsi="Times New Roman" w:cs="Times New Roman"/>
          <w:color w:val="000000"/>
          <w:sz w:val="24"/>
          <w:szCs w:val="24"/>
          <w:lang w:val="sr-Cyrl-RS"/>
        </w:rPr>
        <w:t>”</w:t>
      </w:r>
      <w:r w:rsidR="00191F4F" w:rsidRPr="00191F4F">
        <w:rPr>
          <w:rFonts w:ascii="Times New Roman" w:hAnsi="Times New Roman" w:cs="Times New Roman"/>
          <w:color w:val="000000"/>
          <w:sz w:val="24"/>
          <w:szCs w:val="24"/>
          <w:lang w:val="sr-Cyrl-RS"/>
        </w:rPr>
        <w:t>, број 6</w:t>
      </w:r>
      <w:r>
        <w:rPr>
          <w:rFonts w:ascii="Times New Roman" w:hAnsi="Times New Roman" w:cs="Times New Roman"/>
          <w:color w:val="000000"/>
          <w:sz w:val="24"/>
          <w:szCs w:val="24"/>
        </w:rPr>
        <w:t>/</w:t>
      </w:r>
      <w:r w:rsidR="00191F4F" w:rsidRPr="00191F4F">
        <w:rPr>
          <w:rFonts w:ascii="Times New Roman" w:hAnsi="Times New Roman" w:cs="Times New Roman"/>
          <w:color w:val="000000"/>
          <w:sz w:val="24"/>
          <w:szCs w:val="24"/>
          <w:lang w:val="sr-Cyrl-RS"/>
        </w:rPr>
        <w:t>24</w:t>
      </w:r>
      <w:r>
        <w:rPr>
          <w:rFonts w:ascii="Times New Roman" w:hAnsi="Times New Roman" w:cs="Times New Roman"/>
          <w:color w:val="000000"/>
          <w:sz w:val="24"/>
          <w:szCs w:val="24"/>
          <w:lang w:val="sr-Cyrl-RS"/>
        </w:rPr>
        <w:t>)</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Члан 1.</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Овим правилником прописују се ближи услови за подношење и обраду захтева за издавање јединствене дозволе за привремени боравак и рад странца (у даљем тексту: јединствена дозвола) електронским путем, ближи услови за издавање јединствене дозволе, као и изглед обрасца јединствене дозволе.</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Члан 2.</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Захтев за издавање, односно продужење јединствене дозволе (у даљем тексту: захтев за издавање јединствене дозволе) подноси странац, послодавац у име странца, односно лице које они овласте (у даљем тексту: подносилац захтева), електронским путем.</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Ако је подносилац захтева странац неопходно је да се региструје на јединственом веб порталу за странце (у даљем тексту: Портал за странце).</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Ако у име странца захтев за издавање јединствене дозволе подноси послодавац, неопходно је да се послодавац региструје на порталу еУправа (као правно лице, предузетник, огранак, установа и др.), након чега лице које је овлашћено испред послодавца може поднети захтев за издавање јединствене дозволе на Порталу за странце и предузимати друге радње, у складу са датим овлашћењем.</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 xml:space="preserve">Након регистрације, подносиоцу захтева се додељује Јединствено електронско сандуче (у даљем тексту: </w:t>
      </w:r>
      <w:proofErr w:type="spellStart"/>
      <w:r w:rsidRPr="00191F4F">
        <w:rPr>
          <w:rFonts w:ascii="Times New Roman" w:hAnsi="Times New Roman" w:cs="Times New Roman"/>
          <w:color w:val="000000"/>
          <w:sz w:val="24"/>
          <w:szCs w:val="24"/>
          <w:lang w:val="sr-Cyrl-RS"/>
        </w:rPr>
        <w:t>еСандуче</w:t>
      </w:r>
      <w:proofErr w:type="spellEnd"/>
      <w:r w:rsidRPr="00191F4F">
        <w:rPr>
          <w:rFonts w:ascii="Times New Roman" w:hAnsi="Times New Roman" w:cs="Times New Roman"/>
          <w:color w:val="000000"/>
          <w:sz w:val="24"/>
          <w:szCs w:val="24"/>
          <w:lang w:val="sr-Cyrl-RS"/>
        </w:rPr>
        <w:t>).</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Захтев за издавање јединствене дозволе се подноси избором одговарајуће услуге попуњавањем онлајн форме захтева на Порталу за странце, у складу са законом и сматра се успешно поднетим када је подносилац захтева обавештен о пријему захтева.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 xml:space="preserve">Након успешно поднетог захтева за издавање јединствене дозволе, подносиоцу захтева се преко Портала за странце у </w:t>
      </w:r>
      <w:proofErr w:type="spellStart"/>
      <w:r w:rsidRPr="00191F4F">
        <w:rPr>
          <w:rFonts w:ascii="Times New Roman" w:hAnsi="Times New Roman" w:cs="Times New Roman"/>
          <w:color w:val="000000"/>
          <w:sz w:val="24"/>
          <w:szCs w:val="24"/>
          <w:lang w:val="sr-Cyrl-RS"/>
        </w:rPr>
        <w:t>еСандуче</w:t>
      </w:r>
      <w:proofErr w:type="spellEnd"/>
      <w:r w:rsidRPr="00191F4F">
        <w:rPr>
          <w:rFonts w:ascii="Times New Roman" w:hAnsi="Times New Roman" w:cs="Times New Roman"/>
          <w:color w:val="000000"/>
          <w:sz w:val="24"/>
          <w:szCs w:val="24"/>
          <w:lang w:val="sr-Cyrl-RS"/>
        </w:rPr>
        <w:t xml:space="preserve"> достављају обавештења и упутства за даље поступање.</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Послодавац захтев за издавање јединствене дозволе може поднети појединачно, односно групно, за већи број лица, по истом основу.</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Захтев се може поднети и из иностранства.</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lastRenderedPageBreak/>
        <w:t>Члан 3.</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Приликом подношења захтева за издавање јединствене дозволе, прилажу се, односно прибављају се следећи докази:</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1) важећи лични или службени пасош, односно важећа лична карта државе чији држављани, у складу са важећим прописима, могу да улазе у Републику Србију са личном картом;</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2) докази о оправданости захтева, у односу на конкретан основ за издавање јединствене дозволе и</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3) адреса боравишта, адреса становања, односно изјава о намераваној адреси становања за странца који захтев за издавање јединствене дозволе подноси из иностранства.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Докази из става 1. овог члана прилажу се у форми електронског документа у оригиналу или у форми дигитализованог документа.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Докази из става 1. овог члана који нису издати од стране надлежних органа Републике Србије или који нису сачињени и на српском језику, достављају се са преводом овлашћеног судског преводиоца.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Приликом подношења захтева за издавање јединствене дозволе прилаже се фотографија странца у боји, величине 35 x 45 mm.</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Уз захтев за издавање јединствене дозволе који подноси послодавац, односно лице које овласти странац или послодавац, прилаже се и овлашћење/пуномоћје, у складу са прописом којим је уређен општи управни поступак.</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Адреса боравишта из става 1. тачка 3) овог члана, која се наводи приликом попуњавања захтева за издавање јединствене дозволе, односи се на адресу на територији Републике Србије на којој странац има пријављено боравиште и живи. За захтев за издавање јединствене дозволе који се подноси електронским путем из иностранства, доказивање адресе боравишта се врши прилагањем уговора о закупу непокретности или изјаве о намераваној адреси становања, у складу са законом.</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Адреса становања из става 1. тачка 3) овог члана, која се наводи приликом подношења захтева за продужење јединствене дозволе, односи се на адресу на територији Републике Србије где странац живи и која је последња евидентирана у јединственој дозволи која је претходно издата.</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Члан 4.</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У складу са чланом 40. став 1. тач. 1) и 5) Закона о странцима („Службени гласник РС”, бр. 24/18, 31/19 и 62/23) и одредбама закона који уређује запошљавање странаца, основ за подношење захтева за издавање јединствене дозволе може бити:</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1) запошљавање,</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2) упућено лице,</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3) кретање у оквиру привредног друштва,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lastRenderedPageBreak/>
        <w:t>4) независни професионалац,</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5) оспособљавање и усавршавање и</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6) самозапошљавање.</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Члан 5.</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Приликом подношења захтева за издавање јединствене дозволе по основу запошљавања, послодавац или правно или физичко лице, овлашћено од стране послодавца, покреће спровођење теста тржишта рада.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Ако захтев за издавање јединствене дозволе у име странца подноси послодавац или правно или физичко лице овлашћено од стране послодавца, захтев за спровођење теста тржишта рада подноси истовремено, попуњавањем одговарајућег захтева у онлајн форми, који се налази у оквиру захтева за издавање јединствене дозволе на Порталу за странце.</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Захтев за спровођење теста тржишта рада послодавац може поднети и на порталу еУправа, попуњавањем захтева у онлајн форми, најраније 60 дана пре, а најкасније на дан подношења захтева за издавање јединствене дозволе.</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Евидентирањем захтева за спровођење теста тржишта рада системски се генерише број тог захтева (у даљем тексту: ИД број), који се уписује у одговарајуће поље на захтеву за издавање јединствене дозволе.</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Када је подносилац захтева за издавање јединствене дозволе странац, ИД број прибавља од послодавца, који захтев за спровођење теста тржишта рада подноси у складу са ставом 3. овог члана.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Ако послодавац или правно или физичко лице, овлашћено од стране послодавца, приликом подношења захтева за издавање јединствене дозволе, већ поседује ИД број, уписује га у одговарајуће поље, без покретања спровођења новог теста тржишта рада.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Захтев за издавање јединствене дозволе који послодавац подноси групно, за већи број лица, подноси се за исти или мањи број лица у односу на број лица обухваћених једним захтевом за спровођење теста тржишта рада за исти назив и опис посла, истог занимања.</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Члан 6.</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За доказивање оправданости захтева за издавање јединствене дозволе по основу запошљавања прилажу се, односно прибављају се следећи докази:</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1) предлог уговора о раду или другог уговора којим странац без заснивања радног односа остварује права по основу рада, у складу са законом;</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2) извод из правилника о организацији и систематизацији послова или, уколико послодавац има мање од десет запослених, изјава послодавца која садржи назив и опис послова, ниво и врсту квалификације, односно образовања и друге посебне услове за рад на пословима за радно место;</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lastRenderedPageBreak/>
        <w:t>3) диплома, уверење, односно друга јавна исправа о стеченом одговарајућем нивоу и врсти квалификације;</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4) уверење да послодавац у року од 90 дана пре подношења захтева за јединствену дозволу за запошљавање није отпуштао запослене услед технолошких, економских или организационих промена на радним местима за које се тражи јединствена дозвола за запошљавање, у складу са прописима о раду.</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Уверење из става 1. тачка 4) овог члана организација надлежна за послове запошљавања прибавља службеним путем.</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Члан 7.</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За доказивање оправданости захтева за издавање јединствене дозволе по основу упућеног лица прилажу се, односно прибављају се следећи докази:</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1) уговор о пословно-техничкој сарадњи закључен између послодавца и страног послодавца;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2) акт послодавца и страног послодавца о упућивању странца у Републику Србију, у складу са законом којим се уређују услови за запошљавање странаца;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3) акт страног послодавца или уверење о запослењу у иностранству, односно радном ангажовању;</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4) изјава послодавца и страног послодавца да ће странац по истеку упућивања бити враћен на рад код страног послодавца, осим ако исто није предвиђено актом из тачке 2) овог става.</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Члан 8.</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За доказивање оправданости захтева за издавање јединствене дозволе по основу кретања у оквиру привредног друштва прилажу се, односно прибављају се следећи докази:</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1) акт послодавца и страног послодавца о упућивању странца у Републику Србију;</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2) акт страног послодавца или уверење о запошљавању, односно радном ангажовању странца на пословима руководиоца, специјалисте или приправника;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3) изјава послодавца и страног послодавца да ће странац по истеку упућивања бити враћен на рад код страног послодавца, осим ако исто није предвиђено у тачки 1) овог члана и</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4) доказ да је послодавац регистрован у Републици Србији зависно друштво привредног друштва регистрованог у иностранству, односно о повезаности послодавца и страног послодавца из кога се странац упућује.</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Члан 9.</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За доказивање оправданости захтева за издавање јединствене дозволе по основу независног професионалца прилажу се, односно прибављају се следећи докази:</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lastRenderedPageBreak/>
        <w:t>1) акт о регистрацији независног професионалца у иностранству;</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2) уговор о пружању уговорених услуга са послодавцем или крајњим корисником услуга који обавезно садржи рок за обављање посла;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3) диплома, односно уверење о стручним квалификацијама;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4) исправа, односно потврда о радном искуству у струци, у трајању од најмање три године.</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Члан 10.</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За доказивање оправданости захтева за издавање јединствене дозволе по основу оспособљавања и усавршавања прилажу се, односно прибављају се следећи докази:</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1) уговор са послодавцем или други акт о обављању обуке или приправничког стажа, стручне праксе, радне праксе, стручног оспособљавања, односно усавршавања који садржи место и рок трајања;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2) диплома, уверење, односно друга јавна исправа о стеченом одговарајућем нивоу и врсти квалификације.</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Члан 11.</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За доказивање оправданости захтева за издавање јединствене дозволе по основу самозапошљавања, прилаже се исправа, односно потврда којом странац доказује да има одговарајуће квалификације за обављање конкретне делатности, у складу са законом.</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Члан 12.</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Уз доказе из чл. 6‒11. овог правилника, за доказивање оправданости захтева за издавање јединствене дозволе разматра се и извод о регистрацији послодавца у Републици Србији.</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Члан 13.</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Организација надлежна за послове запошљавања врши процену испуњености услова за запошљавање на основу спроведеног теста тржишта рада из члана 5. овог правилника и оценом доказа из чл. 6‒12. овог правилника, у складу са законом којим се уређују услови за запошљавање странаца.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Процена из става 1. овог члана врши се оценом „испуњава”, која садржи и временски период до када важи дата процена или оценом „не испуњава”, која садржи образложене разлоге због чега нису испуњени услови и доставља се надлежном органу електронским путем.</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Члан 14.</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Ако се захтев за издавање јединствене дозволе подноси у складу са чланом 46б ст. 3. и 7. Закона о странцима, надлежни орган након разматрања доказа о постојању интереса или више силе, може омогућити подношење захтева, у складу са законом.</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lastRenderedPageBreak/>
        <w:t>Постојање разлога из става 1. овог члана странац доказује достављањем документације о болести, природној и другој елементарној непогоди, непредвиђеним догађајима код странца или чланова његове уже породице (тешка болест, смрт и слично), односно другим документом којим се доказује основаност разлога због којих се странцу може омогућити подношење захтева за издавање јединствене дозволе.</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Члан 15.</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Пре узимања биометријских података, полицијски службеник проверава идентитет странца, на основу стране путне исправе коју странац поседује, односно на основу личне карте државе чији држављани, у складу са важећим прописима, могу да улазе у Републику Србију са личном картом, а затим утврђује да ли су плаћене прописане таксе за издавање документа у складу са прописима којима је уређен износ такси и накнада за издавање дозволе за привремени боравак, односно јединствене дозволе.</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Члан 16.</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Након узетих биометријских података, странац врши увид у податке и даје сагласност да су његови лични подаци тачно и исправно евидентирани, након чега се странцу издаје потврда о започетом процесу издавања картице јединствене дозволе, која се лично уручује странцу.</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Потврда из става 1. овог члана садржи евиденцијски број странца, на основу кога послодавац подноси пријаву на обавезно социјално осигурање, у складу законом.</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Члан 17.</w:t>
      </w:r>
    </w:p>
    <w:p w:rsidR="00F47A39" w:rsidRPr="00191F4F" w:rsidRDefault="00191F4F" w:rsidP="00191F4F">
      <w:pPr>
        <w:spacing w:after="150"/>
        <w:jc w:val="both"/>
        <w:rPr>
          <w:rFonts w:ascii="Times New Roman" w:hAnsi="Times New Roman" w:cs="Times New Roman"/>
          <w:sz w:val="24"/>
          <w:szCs w:val="24"/>
          <w:lang w:val="sr-Cyrl-RS"/>
        </w:rPr>
      </w:pPr>
      <w:proofErr w:type="spellStart"/>
      <w:r w:rsidRPr="00191F4F">
        <w:rPr>
          <w:rFonts w:ascii="Times New Roman" w:hAnsi="Times New Roman" w:cs="Times New Roman"/>
          <w:color w:val="000000"/>
          <w:sz w:val="24"/>
          <w:szCs w:val="24"/>
          <w:lang w:val="sr-Cyrl-RS"/>
        </w:rPr>
        <w:t>Oбразац</w:t>
      </w:r>
      <w:proofErr w:type="spellEnd"/>
      <w:r w:rsidRPr="00191F4F">
        <w:rPr>
          <w:rFonts w:ascii="Times New Roman" w:hAnsi="Times New Roman" w:cs="Times New Roman"/>
          <w:color w:val="000000"/>
          <w:sz w:val="24"/>
          <w:szCs w:val="24"/>
          <w:lang w:val="sr-Cyrl-RS"/>
        </w:rPr>
        <w:t xml:space="preserve"> јединствене дозволе је двостран (предња страна и полеђина), правоугаоног облика, у виду картице, формата ИД-1, са уграђеним чипом, израђене од вишеслојног </w:t>
      </w:r>
      <w:proofErr w:type="spellStart"/>
      <w:r w:rsidRPr="00191F4F">
        <w:rPr>
          <w:rFonts w:ascii="Times New Roman" w:hAnsi="Times New Roman" w:cs="Times New Roman"/>
          <w:color w:val="000000"/>
          <w:sz w:val="24"/>
          <w:szCs w:val="24"/>
          <w:lang w:val="sr-Cyrl-RS"/>
        </w:rPr>
        <w:t>поликарбонатног</w:t>
      </w:r>
      <w:proofErr w:type="spellEnd"/>
      <w:r w:rsidRPr="00191F4F">
        <w:rPr>
          <w:rFonts w:ascii="Times New Roman" w:hAnsi="Times New Roman" w:cs="Times New Roman"/>
          <w:color w:val="000000"/>
          <w:sz w:val="24"/>
          <w:szCs w:val="24"/>
          <w:lang w:val="sr-Cyrl-RS"/>
        </w:rPr>
        <w:t xml:space="preserve"> материјала, са доминантним плавим тоновима на предњој страни обрасца.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 xml:space="preserve">Образац је израђен у складу са стандардима ISO/IEC 7810, за физичке карактеристике, ISO/IEC 10373, за тестирање физичких карактеристика, ISO/IEC 7816-1, ISO/IEC 7816-2, ISO/IEC 7816-3 и ISO/IEC 7816-4, 7816-6 за </w:t>
      </w:r>
      <w:proofErr w:type="spellStart"/>
      <w:r w:rsidRPr="00191F4F">
        <w:rPr>
          <w:rFonts w:ascii="Times New Roman" w:hAnsi="Times New Roman" w:cs="Times New Roman"/>
          <w:color w:val="000000"/>
          <w:sz w:val="24"/>
          <w:szCs w:val="24"/>
          <w:lang w:val="sr-Cyrl-RS"/>
        </w:rPr>
        <w:t>међупроцесне</w:t>
      </w:r>
      <w:proofErr w:type="spellEnd"/>
      <w:r w:rsidRPr="00191F4F">
        <w:rPr>
          <w:rFonts w:ascii="Times New Roman" w:hAnsi="Times New Roman" w:cs="Times New Roman"/>
          <w:color w:val="000000"/>
          <w:sz w:val="24"/>
          <w:szCs w:val="24"/>
          <w:lang w:val="sr-Cyrl-RS"/>
        </w:rPr>
        <w:t xml:space="preserve"> елементе података, 7816-8, за </w:t>
      </w:r>
      <w:proofErr w:type="spellStart"/>
      <w:r w:rsidRPr="00191F4F">
        <w:rPr>
          <w:rFonts w:ascii="Times New Roman" w:hAnsi="Times New Roman" w:cs="Times New Roman"/>
          <w:color w:val="000000"/>
          <w:sz w:val="24"/>
          <w:szCs w:val="24"/>
          <w:lang w:val="sr-Cyrl-RS"/>
        </w:rPr>
        <w:t>међупроцесне</w:t>
      </w:r>
      <w:proofErr w:type="spellEnd"/>
      <w:r w:rsidRPr="00191F4F">
        <w:rPr>
          <w:rFonts w:ascii="Times New Roman" w:hAnsi="Times New Roman" w:cs="Times New Roman"/>
          <w:color w:val="000000"/>
          <w:sz w:val="24"/>
          <w:szCs w:val="24"/>
          <w:lang w:val="sr-Cyrl-RS"/>
        </w:rPr>
        <w:t xml:space="preserve"> безбедносне команде и 7816-9, за управљачке команде картице који се односе на електрична кола и контакте.</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 xml:space="preserve">Заштитни елементи на обрасцу јединствене дозволе су: </w:t>
      </w:r>
      <w:proofErr w:type="spellStart"/>
      <w:r w:rsidRPr="00191F4F">
        <w:rPr>
          <w:rFonts w:ascii="Times New Roman" w:hAnsi="Times New Roman" w:cs="Times New Roman"/>
          <w:color w:val="000000"/>
          <w:sz w:val="24"/>
          <w:szCs w:val="24"/>
          <w:lang w:val="sr-Cyrl-RS"/>
        </w:rPr>
        <w:t>микроштампа</w:t>
      </w:r>
      <w:proofErr w:type="spellEnd"/>
      <w:r w:rsidRPr="00191F4F">
        <w:rPr>
          <w:rFonts w:ascii="Times New Roman" w:hAnsi="Times New Roman" w:cs="Times New Roman"/>
          <w:color w:val="000000"/>
          <w:sz w:val="24"/>
          <w:szCs w:val="24"/>
          <w:lang w:val="sr-Cyrl-RS"/>
        </w:rPr>
        <w:t xml:space="preserve">, OVI (оптички променљиве боје) за графички приказ у облику штита са четири оцила бридовима окренутих ка вертикалној греди крста, </w:t>
      </w:r>
      <w:proofErr w:type="spellStart"/>
      <w:r w:rsidRPr="00191F4F">
        <w:rPr>
          <w:rFonts w:ascii="Times New Roman" w:hAnsi="Times New Roman" w:cs="Times New Roman"/>
          <w:color w:val="000000"/>
          <w:sz w:val="24"/>
          <w:szCs w:val="24"/>
          <w:lang w:val="sr-Cyrl-RS"/>
        </w:rPr>
        <w:t>guilloche</w:t>
      </w:r>
      <w:proofErr w:type="spellEnd"/>
      <w:r w:rsidRPr="00191F4F">
        <w:rPr>
          <w:rFonts w:ascii="Times New Roman" w:hAnsi="Times New Roman" w:cs="Times New Roman"/>
          <w:color w:val="000000"/>
          <w:sz w:val="24"/>
          <w:szCs w:val="24"/>
          <w:lang w:val="sr-Cyrl-RS"/>
        </w:rPr>
        <w:t xml:space="preserve"> линије, </w:t>
      </w:r>
      <w:proofErr w:type="spellStart"/>
      <w:r w:rsidRPr="00191F4F">
        <w:rPr>
          <w:rFonts w:ascii="Times New Roman" w:hAnsi="Times New Roman" w:cs="Times New Roman"/>
          <w:color w:val="000000"/>
          <w:sz w:val="24"/>
          <w:szCs w:val="24"/>
          <w:lang w:val="sr-Cyrl-RS"/>
        </w:rPr>
        <w:t>iris</w:t>
      </w:r>
      <w:proofErr w:type="spellEnd"/>
      <w:r w:rsidRPr="00191F4F">
        <w:rPr>
          <w:rFonts w:ascii="Times New Roman" w:hAnsi="Times New Roman" w:cs="Times New Roman"/>
          <w:color w:val="000000"/>
          <w:sz w:val="24"/>
          <w:szCs w:val="24"/>
          <w:lang w:val="sr-Cyrl-RS"/>
        </w:rPr>
        <w:t xml:space="preserve"> штампа, штампа УВ бојама, УВ нити, контролни број, DOVID (</w:t>
      </w:r>
      <w:proofErr w:type="spellStart"/>
      <w:r w:rsidRPr="00191F4F">
        <w:rPr>
          <w:rFonts w:ascii="Times New Roman" w:hAnsi="Times New Roman" w:cs="Times New Roman"/>
          <w:color w:val="000000"/>
          <w:sz w:val="24"/>
          <w:szCs w:val="24"/>
          <w:lang w:val="sr-Cyrl-RS"/>
        </w:rPr>
        <w:t>Дифракциони</w:t>
      </w:r>
      <w:proofErr w:type="spellEnd"/>
      <w:r w:rsidRPr="00191F4F">
        <w:rPr>
          <w:rFonts w:ascii="Times New Roman" w:hAnsi="Times New Roman" w:cs="Times New Roman"/>
          <w:color w:val="000000"/>
          <w:sz w:val="24"/>
          <w:szCs w:val="24"/>
          <w:lang w:val="sr-Cyrl-RS"/>
        </w:rPr>
        <w:t xml:space="preserve"> оптички променљив елемент), у складу са дефинисаном техничком спецификацијом и </w:t>
      </w:r>
      <w:proofErr w:type="spellStart"/>
      <w:r w:rsidRPr="00191F4F">
        <w:rPr>
          <w:rFonts w:ascii="Times New Roman" w:hAnsi="Times New Roman" w:cs="Times New Roman"/>
          <w:color w:val="000000"/>
          <w:sz w:val="24"/>
          <w:szCs w:val="24"/>
          <w:lang w:val="sr-Cyrl-RS"/>
        </w:rPr>
        <w:t>Artwork</w:t>
      </w:r>
      <w:proofErr w:type="spellEnd"/>
      <w:r w:rsidRPr="00191F4F">
        <w:rPr>
          <w:rFonts w:ascii="Times New Roman" w:hAnsi="Times New Roman" w:cs="Times New Roman"/>
          <w:color w:val="000000"/>
          <w:sz w:val="24"/>
          <w:szCs w:val="24"/>
          <w:lang w:val="sr-Cyrl-RS"/>
        </w:rPr>
        <w:t>-ом одобреног од стране поручиоца и MLI зона.</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Члан 18.</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Подаци на обрасцу јединствене дозволе исписани су на српском језику, ћириличким писмом, и на енглеском језику.</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lastRenderedPageBreak/>
        <w:t>Образац јединствене дозволе на предњој страни у наслову садржи назив: „ДОЗВОЛА ЗА ПРИВРЕМЕНИ БОРАВАК И РАД” и следеће податке: презиме и име странца, датум рођења (дан, месец и година рођења), пол, држављанство, регистарски број јединствене дозволе, датум до када важи документ, основ боравка, фотографија странца, слика потписа власника и напомена.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У напомени на картици дозволе за привремени боравак и рад уноси се и назив: јединствена дозвола.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Образац јединствене дозволе на полеђини садржи следеће податке: серијски број документа, евиденцијски број странца, држава рођења, орган издавања, датум издавања и машински читљива зона.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У чип картице јединствене дозволе, поред видљивих података уноси се биометријски отисак прста странца, простор за машински читљиву зону за потребе аутоматског очитавања података, затим пун назив основа за издавање јединствене дозволе, пун назив држављанства, податак да ли странац у складу са законом има право на рад, подаци о адреси становања и други подаци, у складу са законом.</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Уколико се промени адреса становања, у складу са законом, странац се обраћа надлежном органу на чијој територији се налази нова адреса становања, а подаци о промени адресе становања и датуму промене адресе становања евидентирају се у чипу картице јединствене дозволе.</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Уколико дође до промене адресе становања или промене назива улице/</w:t>
      </w:r>
      <w:proofErr w:type="spellStart"/>
      <w:r w:rsidRPr="00191F4F">
        <w:rPr>
          <w:rFonts w:ascii="Times New Roman" w:hAnsi="Times New Roman" w:cs="Times New Roman"/>
          <w:color w:val="000000"/>
          <w:sz w:val="24"/>
          <w:szCs w:val="24"/>
          <w:lang w:val="sr-Cyrl-RS"/>
        </w:rPr>
        <w:t>ренумерације</w:t>
      </w:r>
      <w:proofErr w:type="spellEnd"/>
      <w:r w:rsidRPr="00191F4F">
        <w:rPr>
          <w:rFonts w:ascii="Times New Roman" w:hAnsi="Times New Roman" w:cs="Times New Roman"/>
          <w:color w:val="000000"/>
          <w:sz w:val="24"/>
          <w:szCs w:val="24"/>
          <w:lang w:val="sr-Cyrl-RS"/>
        </w:rPr>
        <w:t>, потребно је да се странац обрати надлежном органу како би се наведена измена података евидентирала у чипу, без издавања нове картице јединствене дозволе.</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Члан 19.</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Образац јединствене дозволе одштампан је у прилогу овог правилника и чини његов саставни део (Образац 1). Саставни део Обрасца 1 је Инструкција о начину узимања биометријских података.</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Члан 20.</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За време важења јединствене дозволе странац, односно послодавац у име странца или правно или физичко лице овлашћено од стране странца или послодавца, може поднети захтев за добијање сагласности за промену основа рада, промену послодавца или за запошљавање код два или више послодавца, електронским путем на Порталу за странце, у оквиру услуге намењене за издавање јединствене дозволе странцу.</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О захтеву из става 1. овог члана, на основу извештаја о спроведеном тесту тржишта рада из члана 5. овог правилника и оцене приложених доказа из чл. 6–12. овог правилника, одлучује месно надлежна организациона јединица организације надлежне за послове запошљавања.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Изузетно, захтев из става 1. овог члана може се поднети у року од 20 дана од дана престанка важења претходног уговора о раду или другог уговора којим се остварују права по основу рада.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lastRenderedPageBreak/>
        <w:t>Организација надлежна за послове запошљавања електронским путем, надлежном органу доставља обавештења о поднетом захтеву и о исходу поступка из става 1. овог члана.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Организација надлежна за послове запошљавања доставља министарству надлежном за послове запошљавања тромесечни извештај о поднетим захтевима и о исходу поступка из става 1. овог члана.</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Члан 21.</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У случају када је јединствена дозвола оглашена неважећом, односно када је оштећена, када фотографија више не одговара изгледу странца, односно када из других разлога претходно издата картица не може да служи својој сврси, сходно се примењују одредбе овог правилника за издавање јединствене дозволе у облику картице.</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У случају става 1. овог члана, нову јединствену дозволу издаје надлежни орган на чијој територији странац има пријављену адресу становања, на период од дана подношења захтева за издавање нове јединствене дозволе до дана који одговора датуму истицања јединствене дозволе која се мења.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У случају става 1. овог члана нови биометријски подаци узимаће се само ако је дошло до промене која утиче на идентификацију странца.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Уколико је претходно издата јединствена дозвола доступна надлежном органу, иста се, након издавања нове картице, физички поништава перфорирањем.</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Члан 22.</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Странац коме је одобрен привремени боравак и издата радна дозвола, у складу са прописима који су били на снази до дана почетка примене овог правилника, наставља да борави и ради до истека рока на који је одобрен привремени боравак и издата радна дозвола, у складу са законом.</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Странац из става 1. овог члана може променити радно место у оквиру истог послодавца, на чији захтев је издата радна дозвола, без прибављања посебне сагласности организације надлежне за послове запошљавања.</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Члан 23.</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Поступци који су започети у складу са прописима који су важили до ступања на снагу овог правилника, окончаће се у складу са тим прописима.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Поступци по захтевима за одобрење привременог боравка и обједињеним захтевима за одобрење привременог боравка и издавање дозволе за рад странцу, који су поднети у складу са прописима који су били на снази до почетка примене овог правилника, окончаће се у складу са одредбама тих прописа.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Странац коме је у складу са прописима који су били на снази до почетка примене овог правилника одобрен привремени боравак, радну дозволу прибавља у складу са прописима који су били на снази у време одобрења привременог боравка.</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lastRenderedPageBreak/>
        <w:t>Члан 24.</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Даном почетка примене овог правилника престају да важе:</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1) Правилник о дозволама за рад („Службени гласник РС”, бр. 63/18, 56/19 и 84/22) и</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2) Правилник о обједињеном захтеву за одобрење, односно продужење привременог боравка и издавање дозволе за рад странцу („Службени гласник РС”, број 144/20).</w:t>
      </w:r>
    </w:p>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Члан 25.</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Овај правилник ступа на снагу 1. фебруара 2024. године.</w:t>
      </w:r>
    </w:p>
    <w:p w:rsidR="00F47A39" w:rsidRPr="00191F4F" w:rsidRDefault="00191F4F">
      <w:pPr>
        <w:spacing w:after="150"/>
        <w:jc w:val="right"/>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01 број 021-56/24-10</w:t>
      </w:r>
    </w:p>
    <w:p w:rsidR="00F47A39" w:rsidRPr="00191F4F" w:rsidRDefault="00191F4F">
      <w:pPr>
        <w:spacing w:after="150"/>
        <w:jc w:val="right"/>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У Београду, 25. јануара 2024. године</w:t>
      </w:r>
    </w:p>
    <w:p w:rsidR="00F47A39" w:rsidRPr="00191F4F" w:rsidRDefault="00191F4F">
      <w:pPr>
        <w:spacing w:after="150"/>
        <w:jc w:val="right"/>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Министар унутрашњих послова,</w:t>
      </w:r>
    </w:p>
    <w:p w:rsidR="00F47A39" w:rsidRPr="00191F4F" w:rsidRDefault="00191F4F">
      <w:pPr>
        <w:spacing w:after="150"/>
        <w:jc w:val="right"/>
        <w:rPr>
          <w:rFonts w:ascii="Times New Roman" w:hAnsi="Times New Roman" w:cs="Times New Roman"/>
          <w:sz w:val="24"/>
          <w:szCs w:val="24"/>
          <w:lang w:val="sr-Cyrl-RS"/>
        </w:rPr>
      </w:pPr>
      <w:r w:rsidRPr="00191F4F">
        <w:rPr>
          <w:rFonts w:ascii="Times New Roman" w:hAnsi="Times New Roman" w:cs="Times New Roman"/>
          <w:b/>
          <w:color w:val="000000"/>
          <w:sz w:val="24"/>
          <w:szCs w:val="24"/>
          <w:lang w:val="sr-Cyrl-RS"/>
        </w:rPr>
        <w:t>Братислав Гашић,</w:t>
      </w:r>
      <w:r w:rsidRPr="00191F4F">
        <w:rPr>
          <w:rFonts w:ascii="Times New Roman" w:hAnsi="Times New Roman" w:cs="Times New Roman"/>
          <w:color w:val="000000"/>
          <w:sz w:val="24"/>
          <w:szCs w:val="24"/>
          <w:lang w:val="sr-Cyrl-RS"/>
        </w:rPr>
        <w:t xml:space="preserve"> с.р.</w:t>
      </w:r>
    </w:p>
    <w:p w:rsidR="00F47A39" w:rsidRPr="00191F4F" w:rsidRDefault="00191F4F">
      <w:pPr>
        <w:spacing w:after="150"/>
        <w:jc w:val="right"/>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Министар за рад, запошљавање, борачка</w:t>
      </w:r>
      <w:r w:rsidRPr="00191F4F">
        <w:rPr>
          <w:rFonts w:ascii="Times New Roman" w:hAnsi="Times New Roman" w:cs="Times New Roman"/>
          <w:sz w:val="24"/>
          <w:szCs w:val="24"/>
          <w:lang w:val="sr-Cyrl-RS"/>
        </w:rPr>
        <w:br/>
      </w:r>
      <w:r w:rsidRPr="00191F4F">
        <w:rPr>
          <w:rFonts w:ascii="Times New Roman" w:hAnsi="Times New Roman" w:cs="Times New Roman"/>
          <w:color w:val="000000"/>
          <w:sz w:val="24"/>
          <w:szCs w:val="24"/>
          <w:lang w:val="sr-Cyrl-RS"/>
        </w:rPr>
        <w:t>и социјална питања</w:t>
      </w:r>
    </w:p>
    <w:p w:rsidR="00F47A39" w:rsidRDefault="00191F4F">
      <w:pPr>
        <w:spacing w:after="150"/>
        <w:jc w:val="right"/>
        <w:rPr>
          <w:rFonts w:ascii="Times New Roman" w:hAnsi="Times New Roman" w:cs="Times New Roman"/>
          <w:color w:val="000000"/>
          <w:sz w:val="24"/>
          <w:szCs w:val="24"/>
          <w:lang w:val="sr-Cyrl-RS"/>
        </w:rPr>
      </w:pPr>
      <w:r w:rsidRPr="00191F4F">
        <w:rPr>
          <w:rFonts w:ascii="Times New Roman" w:hAnsi="Times New Roman" w:cs="Times New Roman"/>
          <w:b/>
          <w:color w:val="000000"/>
          <w:sz w:val="24"/>
          <w:szCs w:val="24"/>
          <w:lang w:val="sr-Cyrl-RS"/>
        </w:rPr>
        <w:t>Никола Селаковић,</w:t>
      </w:r>
      <w:r w:rsidRPr="00191F4F">
        <w:rPr>
          <w:rFonts w:ascii="Times New Roman" w:hAnsi="Times New Roman" w:cs="Times New Roman"/>
          <w:color w:val="000000"/>
          <w:sz w:val="24"/>
          <w:szCs w:val="24"/>
          <w:lang w:val="sr-Cyrl-RS"/>
        </w:rPr>
        <w:t xml:space="preserve"> с.р.</w:t>
      </w:r>
    </w:p>
    <w:p w:rsidR="00191F4F" w:rsidRDefault="00191F4F">
      <w:pPr>
        <w:spacing w:after="150"/>
        <w:jc w:val="right"/>
        <w:rPr>
          <w:rFonts w:ascii="Times New Roman" w:hAnsi="Times New Roman" w:cs="Times New Roman"/>
          <w:color w:val="000000"/>
          <w:sz w:val="24"/>
          <w:szCs w:val="24"/>
          <w:lang w:val="sr-Cyrl-RS"/>
        </w:rPr>
      </w:pPr>
    </w:p>
    <w:p w:rsidR="00191F4F" w:rsidRDefault="00191F4F">
      <w:pPr>
        <w:spacing w:after="150"/>
        <w:jc w:val="right"/>
        <w:rPr>
          <w:rFonts w:ascii="Times New Roman" w:hAnsi="Times New Roman" w:cs="Times New Roman"/>
          <w:color w:val="000000"/>
          <w:sz w:val="24"/>
          <w:szCs w:val="24"/>
          <w:lang w:val="sr-Cyrl-RS"/>
        </w:rPr>
      </w:pPr>
    </w:p>
    <w:p w:rsidR="00191F4F" w:rsidRDefault="00191F4F">
      <w:pPr>
        <w:spacing w:after="150"/>
        <w:jc w:val="right"/>
        <w:rPr>
          <w:rFonts w:ascii="Times New Roman" w:hAnsi="Times New Roman" w:cs="Times New Roman"/>
          <w:color w:val="000000"/>
          <w:sz w:val="24"/>
          <w:szCs w:val="24"/>
          <w:lang w:val="sr-Cyrl-RS"/>
        </w:rPr>
      </w:pPr>
    </w:p>
    <w:p w:rsidR="00191F4F" w:rsidRDefault="00191F4F">
      <w:pPr>
        <w:spacing w:after="150"/>
        <w:jc w:val="right"/>
        <w:rPr>
          <w:rFonts w:ascii="Times New Roman" w:hAnsi="Times New Roman" w:cs="Times New Roman"/>
          <w:color w:val="000000"/>
          <w:sz w:val="24"/>
          <w:szCs w:val="24"/>
          <w:lang w:val="sr-Cyrl-RS"/>
        </w:rPr>
      </w:pPr>
    </w:p>
    <w:p w:rsidR="00191F4F" w:rsidRDefault="00191F4F">
      <w:pPr>
        <w:spacing w:after="150"/>
        <w:jc w:val="right"/>
        <w:rPr>
          <w:rFonts w:ascii="Times New Roman" w:hAnsi="Times New Roman" w:cs="Times New Roman"/>
          <w:color w:val="000000"/>
          <w:sz w:val="24"/>
          <w:szCs w:val="24"/>
          <w:lang w:val="sr-Cyrl-RS"/>
        </w:rPr>
      </w:pPr>
    </w:p>
    <w:p w:rsidR="00191F4F" w:rsidRDefault="00191F4F">
      <w:pPr>
        <w:spacing w:after="150"/>
        <w:jc w:val="right"/>
        <w:rPr>
          <w:rFonts w:ascii="Times New Roman" w:hAnsi="Times New Roman" w:cs="Times New Roman"/>
          <w:color w:val="000000"/>
          <w:sz w:val="24"/>
          <w:szCs w:val="24"/>
          <w:lang w:val="sr-Cyrl-RS"/>
        </w:rPr>
      </w:pPr>
    </w:p>
    <w:p w:rsidR="00191F4F" w:rsidRDefault="00191F4F">
      <w:pPr>
        <w:spacing w:after="150"/>
        <w:jc w:val="right"/>
        <w:rPr>
          <w:rFonts w:ascii="Times New Roman" w:hAnsi="Times New Roman" w:cs="Times New Roman"/>
          <w:color w:val="000000"/>
          <w:sz w:val="24"/>
          <w:szCs w:val="24"/>
          <w:lang w:val="sr-Cyrl-RS"/>
        </w:rPr>
      </w:pPr>
    </w:p>
    <w:p w:rsidR="00191F4F" w:rsidRDefault="00191F4F">
      <w:pPr>
        <w:spacing w:after="150"/>
        <w:jc w:val="right"/>
        <w:rPr>
          <w:rFonts w:ascii="Times New Roman" w:hAnsi="Times New Roman" w:cs="Times New Roman"/>
          <w:color w:val="000000"/>
          <w:sz w:val="24"/>
          <w:szCs w:val="24"/>
          <w:lang w:val="sr-Cyrl-RS"/>
        </w:rPr>
      </w:pPr>
    </w:p>
    <w:p w:rsidR="00191F4F" w:rsidRDefault="00191F4F">
      <w:pPr>
        <w:spacing w:after="150"/>
        <w:jc w:val="right"/>
        <w:rPr>
          <w:rFonts w:ascii="Times New Roman" w:hAnsi="Times New Roman" w:cs="Times New Roman"/>
          <w:color w:val="000000"/>
          <w:sz w:val="24"/>
          <w:szCs w:val="24"/>
          <w:lang w:val="sr-Cyrl-RS"/>
        </w:rPr>
      </w:pPr>
    </w:p>
    <w:p w:rsidR="00191F4F" w:rsidRDefault="00191F4F">
      <w:pPr>
        <w:spacing w:after="150"/>
        <w:jc w:val="right"/>
        <w:rPr>
          <w:rFonts w:ascii="Times New Roman" w:hAnsi="Times New Roman" w:cs="Times New Roman"/>
          <w:color w:val="000000"/>
          <w:sz w:val="24"/>
          <w:szCs w:val="24"/>
          <w:lang w:val="sr-Cyrl-RS"/>
        </w:rPr>
      </w:pPr>
    </w:p>
    <w:p w:rsidR="00191F4F" w:rsidRPr="00191F4F" w:rsidRDefault="00191F4F">
      <w:pPr>
        <w:spacing w:after="150"/>
        <w:jc w:val="right"/>
        <w:rPr>
          <w:rFonts w:ascii="Times New Roman" w:hAnsi="Times New Roman" w:cs="Times New Roman"/>
          <w:sz w:val="24"/>
          <w:szCs w:val="24"/>
          <w:lang w:val="sr-Cyrl-RS"/>
        </w:rPr>
      </w:pPr>
    </w:p>
    <w:p w:rsidR="00F47A39" w:rsidRPr="00191F4F" w:rsidRDefault="00191F4F">
      <w:pPr>
        <w:rPr>
          <w:rFonts w:ascii="Times New Roman" w:hAnsi="Times New Roman" w:cs="Times New Roman"/>
          <w:sz w:val="24"/>
          <w:szCs w:val="24"/>
          <w:lang w:val="sr-Cyrl-RS"/>
        </w:rPr>
      </w:pPr>
      <w:bookmarkStart w:id="1" w:name="_idContainer056"/>
      <w:r w:rsidRPr="00191F4F">
        <w:rPr>
          <w:rFonts w:ascii="Times New Roman" w:hAnsi="Times New Roman" w:cs="Times New Roman"/>
          <w:noProof/>
          <w:sz w:val="24"/>
          <w:szCs w:val="24"/>
        </w:rPr>
        <w:lastRenderedPageBreak/>
        <w:drawing>
          <wp:inline distT="0" distB="0" distL="0" distR="0">
            <wp:extent cx="5732145" cy="21239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32145" cy="2123991"/>
                    </a:xfrm>
                    <a:prstGeom prst="rect">
                      <a:avLst/>
                    </a:prstGeom>
                  </pic:spPr>
                </pic:pic>
              </a:graphicData>
            </a:graphic>
          </wp:inline>
        </w:drawing>
      </w:r>
    </w:p>
    <w:bookmarkEnd w:id="1"/>
    <w:p w:rsidR="00F47A39" w:rsidRPr="00191F4F" w:rsidRDefault="00191F4F">
      <w:pPr>
        <w:spacing w:after="120"/>
        <w:jc w:val="center"/>
        <w:rPr>
          <w:rFonts w:ascii="Times New Roman" w:hAnsi="Times New Roman" w:cs="Times New Roman"/>
          <w:sz w:val="24"/>
          <w:szCs w:val="24"/>
          <w:lang w:val="sr-Cyrl-RS"/>
        </w:rPr>
      </w:pPr>
      <w:r w:rsidRPr="00191F4F">
        <w:rPr>
          <w:rFonts w:ascii="Times New Roman" w:hAnsi="Times New Roman" w:cs="Times New Roman"/>
          <w:b/>
          <w:color w:val="000000"/>
          <w:sz w:val="24"/>
          <w:szCs w:val="24"/>
          <w:lang w:val="sr-Cyrl-RS"/>
        </w:rPr>
        <w:t>Инструкција о начину узимања биометријских података</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 xml:space="preserve">Под узимањем биометријских података (фотографија, отисци прстију и потпис странца) подразумева се узимање података помоћу одговарајућих техничких средстава и превођење тих података у </w:t>
      </w:r>
      <w:r w:rsidR="004B66C9" w:rsidRPr="00191F4F">
        <w:rPr>
          <w:rFonts w:ascii="Times New Roman" w:hAnsi="Times New Roman" w:cs="Times New Roman"/>
          <w:color w:val="000000"/>
          <w:sz w:val="24"/>
          <w:szCs w:val="24"/>
          <w:lang w:val="sr-Cyrl-RS"/>
        </w:rPr>
        <w:t>електронски</w:t>
      </w:r>
      <w:r w:rsidRPr="00191F4F">
        <w:rPr>
          <w:rFonts w:ascii="Times New Roman" w:hAnsi="Times New Roman" w:cs="Times New Roman"/>
          <w:color w:val="000000"/>
          <w:sz w:val="24"/>
          <w:szCs w:val="24"/>
          <w:lang w:val="sr-Cyrl-RS"/>
        </w:rPr>
        <w:t xml:space="preserve"> облик.</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 xml:space="preserve">Узимање фотографије се врши дигиталном камером, тако да 70–80% фотографије заузима лице; да је фотографија је оштра и јасна, високог квалитета и да приказује природну боју коже; да лице гледа директно у камеру, да се јасно виде обе ивице лица, без осмеха и гримаса, са затвореним устима; </w:t>
      </w:r>
      <w:r w:rsidR="004B66C9" w:rsidRPr="00191F4F">
        <w:rPr>
          <w:rFonts w:ascii="Times New Roman" w:hAnsi="Times New Roman" w:cs="Times New Roman"/>
          <w:color w:val="000000"/>
          <w:sz w:val="24"/>
          <w:szCs w:val="24"/>
          <w:lang w:val="sr-Cyrl-RS"/>
        </w:rPr>
        <w:t>да</w:t>
      </w:r>
      <w:r w:rsidRPr="00191F4F">
        <w:rPr>
          <w:rFonts w:ascii="Times New Roman" w:hAnsi="Times New Roman" w:cs="Times New Roman"/>
          <w:color w:val="000000"/>
          <w:sz w:val="24"/>
          <w:szCs w:val="24"/>
          <w:lang w:val="sr-Cyrl-RS"/>
        </w:rPr>
        <w:t xml:space="preserve"> су очи отворене и јасно видљиве (без косе преко очију); да је иза лица које се фотографише једнобојна сива позадина; за лице са наочарима: очи јасно видљиве, да рам не заклања било који део ока, без рефлексије; на фотографији не смеју да се виде друге особе, делови намештаја или други предмети.</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Узимање отиска прста се врши скенером за отиске и подразумева узимање отиска левог и десног кажипрста, на додир и ваљањем прста у једном правцу од једне до друге ивице нокта. Ако лице нема кажипрст, узима се отисак наредног прста и то овим редоследом: палац, средњи прст, домали, мали. Ако узимање отисака прстију скенером из било ког разлога није могуће или ако тако узети отисци не могу послужити биометријској обради или лице нема прсте, у евиденције уписује се напомена ознака НД (није доступно).</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Узимање потписа се врши помоћу табле за дигитализацију потписа, а узети потпис мора бити читко исписан.</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У прописане евиденције службено лице уписује податак са којих прстију су узети отисци, односно да узимање отиска није доступно, што својим потписом потврђује. Ако је лице неписмено или из других објективних разлога узимање потписа није могуће, уписује се напомена и место за потпис остаје празно.</w:t>
      </w:r>
    </w:p>
    <w:p w:rsidR="00F47A39" w:rsidRPr="00191F4F" w:rsidRDefault="00191F4F" w:rsidP="00191F4F">
      <w:pPr>
        <w:spacing w:after="150"/>
        <w:jc w:val="both"/>
        <w:rPr>
          <w:rFonts w:ascii="Times New Roman" w:hAnsi="Times New Roman" w:cs="Times New Roman"/>
          <w:sz w:val="24"/>
          <w:szCs w:val="24"/>
          <w:lang w:val="sr-Cyrl-RS"/>
        </w:rPr>
      </w:pPr>
      <w:r w:rsidRPr="00191F4F">
        <w:rPr>
          <w:rFonts w:ascii="Times New Roman" w:hAnsi="Times New Roman" w:cs="Times New Roman"/>
          <w:color w:val="000000"/>
          <w:sz w:val="24"/>
          <w:szCs w:val="24"/>
          <w:lang w:val="sr-Cyrl-RS"/>
        </w:rPr>
        <w:t>Малолетном странцу до навршене 12 године живота не узимају се отисци прстију ни потпис.</w:t>
      </w:r>
    </w:p>
    <w:sectPr w:rsidR="00F47A39" w:rsidRPr="00191F4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A39"/>
    <w:rsid w:val="00191F4F"/>
    <w:rsid w:val="004B66C9"/>
    <w:rsid w:val="00646CF9"/>
    <w:rsid w:val="00EE0B90"/>
    <w:rsid w:val="00F47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9B1764-9DEE-4D08-8465-AAF0E8513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3091</Words>
  <Characters>17620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Denčić</dc:creator>
  <cp:lastModifiedBy>Group for normative affairs for employment</cp:lastModifiedBy>
  <cp:revision>2</cp:revision>
  <dcterms:created xsi:type="dcterms:W3CDTF">2025-06-02T13:10:00Z</dcterms:created>
  <dcterms:modified xsi:type="dcterms:W3CDTF">2025-06-02T13:10:00Z</dcterms:modified>
</cp:coreProperties>
</file>