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7"/>
        <w:ind w:right="716" w:firstLine="0"/>
        <w:jc w:val="right"/>
      </w:pPr>
      <w:r>
        <w:rPr>
          <w:spacing w:val="-2"/>
        </w:rPr>
        <w:t>ПРЕДЛОГ</w:t>
      </w:r>
    </w:p>
    <w:p>
      <w:pPr>
        <w:pStyle w:val="BodyText"/>
        <w:spacing w:before="235"/>
        <w:ind w:left="0"/>
        <w:jc w:val="left"/>
        <w:rPr>
          <w:b/>
        </w:rPr>
      </w:pPr>
    </w:p>
    <w:p>
      <w:pPr>
        <w:pStyle w:val="BodyText"/>
        <w:ind w:right="724" w:firstLine="719"/>
      </w:pPr>
      <w:r>
        <w:rPr/>
        <w:t>На основу члана 38. став 1. Закона о планском систему Републике Србије („Службени гласник РС”, број 30/18),</w:t>
      </w:r>
    </w:p>
    <w:p>
      <w:pPr>
        <w:pStyle w:val="BodyText"/>
        <w:spacing w:before="240"/>
        <w:ind w:left="0"/>
        <w:jc w:val="left"/>
      </w:pPr>
    </w:p>
    <w:p>
      <w:pPr>
        <w:pStyle w:val="BodyText"/>
        <w:ind w:left="1080"/>
        <w:jc w:val="left"/>
      </w:pPr>
      <w:r>
        <w:rPr/>
        <w:t>Влада</w:t>
      </w:r>
      <w:r>
        <w:rPr>
          <w:spacing w:val="-4"/>
        </w:rPr>
        <w:t> </w:t>
      </w:r>
      <w:r>
        <w:rPr>
          <w:spacing w:val="-2"/>
        </w:rPr>
        <w:t>доноси</w:t>
      </w:r>
    </w:p>
    <w:p>
      <w:pPr>
        <w:pStyle w:val="BodyText"/>
        <w:spacing w:before="245"/>
        <w:ind w:left="0"/>
        <w:jc w:val="left"/>
      </w:pPr>
    </w:p>
    <w:p>
      <w:pPr>
        <w:pStyle w:val="Heading1"/>
        <w:spacing w:line="345" w:lineRule="auto"/>
        <w:ind w:left="2782" w:right="1826" w:hanging="1073"/>
      </w:pPr>
      <w:r>
        <w:rPr/>
        <w:t>СТРАТЕГИЈУ</w:t>
      </w:r>
      <w:r>
        <w:rPr>
          <w:spacing w:val="-10"/>
        </w:rPr>
        <w:t> </w:t>
      </w:r>
      <w:r>
        <w:rPr/>
        <w:t>ЗАПОШЉАВАЊА</w:t>
      </w:r>
      <w:r>
        <w:rPr>
          <w:spacing w:val="-10"/>
        </w:rPr>
        <w:t> </w:t>
      </w:r>
      <w:r>
        <w:rPr/>
        <w:t>У</w:t>
      </w:r>
      <w:r>
        <w:rPr>
          <w:spacing w:val="-9"/>
        </w:rPr>
        <w:t> </w:t>
      </w:r>
      <w:r>
        <w:rPr/>
        <w:t>РЕПУБЛИЦИ</w:t>
      </w:r>
      <w:r>
        <w:rPr>
          <w:spacing w:val="-9"/>
        </w:rPr>
        <w:t> </w:t>
      </w:r>
      <w:r>
        <w:rPr/>
        <w:t>СРБИЈИ ЗА ПЕРИОД ОД 2021. ДО 2026. ГОДИНЕ</w:t>
      </w:r>
    </w:p>
    <w:p>
      <w:pPr>
        <w:pStyle w:val="BodyText"/>
        <w:spacing w:before="118"/>
        <w:ind w:left="0"/>
        <w:jc w:val="left"/>
        <w:rPr>
          <w:b/>
        </w:rPr>
      </w:pPr>
    </w:p>
    <w:p>
      <w:pPr>
        <w:pStyle w:val="ListParagraph"/>
        <w:numPr>
          <w:ilvl w:val="0"/>
          <w:numId w:val="1"/>
        </w:numPr>
        <w:tabs>
          <w:tab w:pos="4875" w:val="left" w:leader="none"/>
        </w:tabs>
        <w:spacing w:line="240" w:lineRule="auto" w:before="0" w:after="0"/>
        <w:ind w:left="4875" w:right="0" w:hanging="360"/>
        <w:jc w:val="left"/>
        <w:rPr>
          <w:b/>
          <w:sz w:val="24"/>
        </w:rPr>
      </w:pPr>
      <w:r>
        <w:rPr>
          <w:b/>
          <w:spacing w:val="-4"/>
          <w:sz w:val="24"/>
        </w:rPr>
        <w:t>УВОД</w:t>
      </w:r>
    </w:p>
    <w:p>
      <w:pPr>
        <w:pStyle w:val="BodyText"/>
        <w:spacing w:before="115"/>
        <w:ind w:right="712" w:firstLine="719"/>
      </w:pPr>
      <w:r>
        <w:rPr/>
        <w:t>Имајући у виду да важећем стратешком документу у области запошљавања (Национална стратегија запошљавaња за период 2011-2020. године, </w:t>
      </w:r>
      <w:r>
        <w:rPr>
          <w:i/>
        </w:rPr>
        <w:t>„Службени гласник РСˮ, број 37/11) </w:t>
      </w:r>
      <w:r>
        <w:rPr/>
        <w:t>истиче временски опсег и да је потребно остварити континуитет у спровођењу политике запошљавања, али и надаље је развијати у складу са потребама националног тржишта рада (и реформским процесима политика од значаја и утицаја на област политике запошљавања) и наставити са усаглашавањем са стандардима у овој области који важе за државе чланице Европске уније (ЕУ), Министарство за рад, запошљавање, борачка и социјална питања, приступило је изради нове Стратегије запошљавања у Републици Србији за период од 2021. до 2026. године (у даљем тексту: </w:t>
      </w:r>
      <w:r>
        <w:rPr>
          <w:spacing w:val="-2"/>
        </w:rPr>
        <w:t>Стратегија).</w:t>
      </w:r>
    </w:p>
    <w:p>
      <w:pPr>
        <w:pStyle w:val="BodyText"/>
        <w:spacing w:before="121"/>
        <w:ind w:right="715" w:firstLine="719"/>
      </w:pPr>
      <w:r>
        <w:rPr/>
        <w:t>Подршку изради Стратегије пружио је пројекат „Знањем до посла“ који спроводи Тим за социјално укључивање и смањење сиромаштва Владе Републике Србије, а финансијски</w:t>
      </w:r>
      <w:r>
        <w:rPr>
          <w:spacing w:val="-15"/>
        </w:rPr>
        <w:t> </w:t>
      </w:r>
      <w:r>
        <w:rPr/>
        <w:t>подржава</w:t>
      </w:r>
      <w:r>
        <w:rPr>
          <w:spacing w:val="-15"/>
        </w:rPr>
        <w:t> </w:t>
      </w:r>
      <w:r>
        <w:rPr/>
        <w:t>Швајцарска</w:t>
      </w:r>
      <w:r>
        <w:rPr>
          <w:spacing w:val="-15"/>
        </w:rPr>
        <w:t> </w:t>
      </w:r>
      <w:r>
        <w:rPr/>
        <w:t>канцеларија</w:t>
      </w:r>
      <w:r>
        <w:rPr>
          <w:spacing w:val="-15"/>
        </w:rPr>
        <w:t> </w:t>
      </w:r>
      <w:r>
        <w:rPr/>
        <w:t>за</w:t>
      </w:r>
      <w:r>
        <w:rPr>
          <w:spacing w:val="-15"/>
        </w:rPr>
        <w:t> </w:t>
      </w:r>
      <w:r>
        <w:rPr/>
        <w:t>сарадњу</w:t>
      </w:r>
      <w:r>
        <w:rPr>
          <w:spacing w:val="-15"/>
        </w:rPr>
        <w:t> </w:t>
      </w:r>
      <w:r>
        <w:rPr/>
        <w:t>(SDC),</w:t>
      </w:r>
      <w:r>
        <w:rPr>
          <w:spacing w:val="-15"/>
        </w:rPr>
        <w:t> </w:t>
      </w:r>
      <w:r>
        <w:rPr/>
        <w:t>у</w:t>
      </w:r>
      <w:r>
        <w:rPr>
          <w:spacing w:val="-15"/>
        </w:rPr>
        <w:t> </w:t>
      </w:r>
      <w:r>
        <w:rPr/>
        <w:t>оквиру</w:t>
      </w:r>
      <w:r>
        <w:rPr>
          <w:spacing w:val="-15"/>
        </w:rPr>
        <w:t> </w:t>
      </w:r>
      <w:r>
        <w:rPr/>
        <w:t>којег</w:t>
      </w:r>
      <w:r>
        <w:rPr>
          <w:spacing w:val="-15"/>
        </w:rPr>
        <w:t> </w:t>
      </w:r>
      <w:r>
        <w:rPr/>
        <w:t>су</w:t>
      </w:r>
      <w:r>
        <w:rPr>
          <w:spacing w:val="-15"/>
        </w:rPr>
        <w:t> </w:t>
      </w:r>
      <w:r>
        <w:rPr/>
        <w:t>урађене Ex-post</w:t>
      </w:r>
      <w:r>
        <w:rPr>
          <w:spacing w:val="-13"/>
        </w:rPr>
        <w:t> </w:t>
      </w:r>
      <w:r>
        <w:rPr/>
        <w:t>анализа</w:t>
      </w:r>
      <w:r>
        <w:rPr>
          <w:spacing w:val="-14"/>
        </w:rPr>
        <w:t> </w:t>
      </w:r>
      <w:r>
        <w:rPr/>
        <w:t>Националне</w:t>
      </w:r>
      <w:r>
        <w:rPr>
          <w:spacing w:val="-14"/>
        </w:rPr>
        <w:t> </w:t>
      </w:r>
      <w:r>
        <w:rPr/>
        <w:t>стратегије</w:t>
      </w:r>
      <w:r>
        <w:rPr>
          <w:spacing w:val="-14"/>
        </w:rPr>
        <w:t> </w:t>
      </w:r>
      <w:r>
        <w:rPr/>
        <w:t>запошљавања</w:t>
      </w:r>
      <w:r>
        <w:rPr>
          <w:spacing w:val="-14"/>
        </w:rPr>
        <w:t> </w:t>
      </w:r>
      <w:r>
        <w:rPr/>
        <w:t>за</w:t>
      </w:r>
      <w:r>
        <w:rPr>
          <w:spacing w:val="-14"/>
        </w:rPr>
        <w:t> </w:t>
      </w:r>
      <w:r>
        <w:rPr/>
        <w:t>период</w:t>
      </w:r>
      <w:r>
        <w:rPr>
          <w:spacing w:val="-13"/>
        </w:rPr>
        <w:t> </w:t>
      </w:r>
      <w:r>
        <w:rPr/>
        <w:t>2011-2020.</w:t>
      </w:r>
      <w:r>
        <w:rPr>
          <w:spacing w:val="-13"/>
        </w:rPr>
        <w:t> </w:t>
      </w:r>
      <w:r>
        <w:rPr/>
        <w:t>године</w:t>
      </w:r>
      <w:r>
        <w:rPr>
          <w:spacing w:val="-14"/>
        </w:rPr>
        <w:t> </w:t>
      </w:r>
      <w:r>
        <w:rPr/>
        <w:t>и</w:t>
      </w:r>
      <w:r>
        <w:rPr>
          <w:spacing w:val="-12"/>
        </w:rPr>
        <w:t> </w:t>
      </w:r>
      <w:r>
        <w:rPr/>
        <w:t>Ex-ante анализа Стратегије запошљавања у Републици Србији за период 2021-2026. године, као и други аналитички материјали. Такође, значајну подршку је пружила Међународна организација рада кроз израду анализа потребних капацитета и предуслова за ефикасно креирање и спровођење политике запошљавања.</w:t>
      </w:r>
    </w:p>
    <w:p>
      <w:pPr>
        <w:pStyle w:val="BodyText"/>
        <w:spacing w:before="120"/>
        <w:ind w:right="716" w:firstLine="719"/>
      </w:pPr>
      <w:r>
        <w:rPr/>
        <w:t>На основу наведених анализа које су представљале полазну основу за припрему Стратегије, сагледани су остварени резултати у претходном десетогодишњем периоду и утврђени су правци развоја политике запошљавања у наредном шестогодишњем периоду.</w:t>
      </w:r>
    </w:p>
    <w:p>
      <w:pPr>
        <w:pStyle w:val="BodyText"/>
        <w:spacing w:before="5"/>
        <w:ind w:left="0"/>
        <w:jc w:val="left"/>
      </w:pPr>
    </w:p>
    <w:p>
      <w:pPr>
        <w:pStyle w:val="Heading2"/>
        <w:numPr>
          <w:ilvl w:val="1"/>
          <w:numId w:val="1"/>
        </w:numPr>
        <w:tabs>
          <w:tab w:pos="780" w:val="left" w:leader="none"/>
        </w:tabs>
        <w:spacing w:line="240" w:lineRule="auto" w:before="0" w:after="0"/>
        <w:ind w:left="780" w:right="0" w:hanging="420"/>
        <w:jc w:val="left"/>
      </w:pPr>
      <w:r>
        <w:rPr/>
        <w:t>Спроведене</w:t>
      </w:r>
      <w:r>
        <w:rPr>
          <w:spacing w:val="-8"/>
        </w:rPr>
        <w:t> </w:t>
      </w:r>
      <w:r>
        <w:rPr/>
        <w:t>консултације</w:t>
      </w:r>
      <w:r>
        <w:rPr>
          <w:spacing w:val="-7"/>
        </w:rPr>
        <w:t> </w:t>
      </w:r>
      <w:r>
        <w:rPr/>
        <w:t>са</w:t>
      </w:r>
      <w:r>
        <w:rPr>
          <w:spacing w:val="-5"/>
        </w:rPr>
        <w:t> </w:t>
      </w:r>
      <w:r>
        <w:rPr/>
        <w:t>заинтересованим</w:t>
      </w:r>
      <w:r>
        <w:rPr>
          <w:spacing w:val="-5"/>
        </w:rPr>
        <w:t> </w:t>
      </w:r>
      <w:r>
        <w:rPr>
          <w:spacing w:val="-2"/>
        </w:rPr>
        <w:t>странама</w:t>
      </w:r>
    </w:p>
    <w:p>
      <w:pPr>
        <w:pStyle w:val="BodyText"/>
        <w:spacing w:before="272"/>
        <w:ind w:right="716" w:firstLine="719"/>
      </w:pPr>
      <w:r>
        <w:rPr/>
        <w:t>Рад</w:t>
      </w:r>
      <w:r>
        <w:rPr>
          <w:spacing w:val="-15"/>
        </w:rPr>
        <w:t> </w:t>
      </w:r>
      <w:r>
        <w:rPr/>
        <w:t>на</w:t>
      </w:r>
      <w:r>
        <w:rPr>
          <w:spacing w:val="-15"/>
        </w:rPr>
        <w:t> </w:t>
      </w:r>
      <w:r>
        <w:rPr/>
        <w:t>изради</w:t>
      </w:r>
      <w:r>
        <w:rPr>
          <w:spacing w:val="-15"/>
        </w:rPr>
        <w:t> </w:t>
      </w:r>
      <w:r>
        <w:rPr/>
        <w:t>Стратегије</w:t>
      </w:r>
      <w:r>
        <w:rPr>
          <w:spacing w:val="-15"/>
        </w:rPr>
        <w:t> </w:t>
      </w:r>
      <w:r>
        <w:rPr/>
        <w:t>започет</w:t>
      </w:r>
      <w:r>
        <w:rPr>
          <w:spacing w:val="-15"/>
        </w:rPr>
        <w:t> </w:t>
      </w:r>
      <w:r>
        <w:rPr/>
        <w:t>је</w:t>
      </w:r>
      <w:r>
        <w:rPr>
          <w:spacing w:val="-15"/>
        </w:rPr>
        <w:t> </w:t>
      </w:r>
      <w:r>
        <w:rPr/>
        <w:t>половином</w:t>
      </w:r>
      <w:r>
        <w:rPr>
          <w:spacing w:val="-15"/>
        </w:rPr>
        <w:t> </w:t>
      </w:r>
      <w:r>
        <w:rPr/>
        <w:t>2020.</w:t>
      </w:r>
      <w:r>
        <w:rPr>
          <w:spacing w:val="-15"/>
        </w:rPr>
        <w:t> </w:t>
      </w:r>
      <w:r>
        <w:rPr/>
        <w:t>године</w:t>
      </w:r>
      <w:r>
        <w:rPr>
          <w:spacing w:val="-15"/>
        </w:rPr>
        <w:t> </w:t>
      </w:r>
      <w:r>
        <w:rPr/>
        <w:t>када</w:t>
      </w:r>
      <w:r>
        <w:rPr>
          <w:spacing w:val="-15"/>
        </w:rPr>
        <w:t> </w:t>
      </w:r>
      <w:r>
        <w:rPr/>
        <w:t>је</w:t>
      </w:r>
      <w:r>
        <w:rPr>
          <w:spacing w:val="-15"/>
        </w:rPr>
        <w:t> </w:t>
      </w:r>
      <w:r>
        <w:rPr/>
        <w:t>образована</w:t>
      </w:r>
      <w:r>
        <w:rPr>
          <w:spacing w:val="-15"/>
        </w:rPr>
        <w:t> </w:t>
      </w:r>
      <w:r>
        <w:rPr/>
        <w:t>Радна група</w:t>
      </w:r>
      <w:r>
        <w:rPr>
          <w:vertAlign w:val="superscript"/>
        </w:rPr>
        <w:t>1</w:t>
      </w:r>
      <w:r>
        <w:rPr>
          <w:spacing w:val="-4"/>
          <w:vertAlign w:val="baseline"/>
        </w:rPr>
        <w:t> </w:t>
      </w:r>
      <w:r>
        <w:rPr>
          <w:vertAlign w:val="baseline"/>
        </w:rPr>
        <w:t>за</w:t>
      </w:r>
      <w:r>
        <w:rPr>
          <w:spacing w:val="-5"/>
          <w:vertAlign w:val="baseline"/>
        </w:rPr>
        <w:t> </w:t>
      </w:r>
      <w:r>
        <w:rPr>
          <w:vertAlign w:val="baseline"/>
        </w:rPr>
        <w:t>израду</w:t>
      </w:r>
      <w:r>
        <w:rPr>
          <w:spacing w:val="-7"/>
          <w:vertAlign w:val="baseline"/>
        </w:rPr>
        <w:t> </w:t>
      </w:r>
      <w:r>
        <w:rPr>
          <w:vertAlign w:val="baseline"/>
        </w:rPr>
        <w:t>предлога</w:t>
      </w:r>
      <w:r>
        <w:rPr>
          <w:spacing w:val="-4"/>
          <w:vertAlign w:val="baseline"/>
        </w:rPr>
        <w:t> </w:t>
      </w:r>
      <w:r>
        <w:rPr>
          <w:vertAlign w:val="baseline"/>
        </w:rPr>
        <w:t>Стратегије</w:t>
      </w:r>
      <w:r>
        <w:rPr>
          <w:spacing w:val="-5"/>
          <w:vertAlign w:val="baseline"/>
        </w:rPr>
        <w:t> </w:t>
      </w:r>
      <w:r>
        <w:rPr>
          <w:vertAlign w:val="baseline"/>
        </w:rPr>
        <w:t>запошљавања</w:t>
      </w:r>
      <w:r>
        <w:rPr>
          <w:spacing w:val="3"/>
          <w:vertAlign w:val="baseline"/>
        </w:rPr>
        <w:t> </w:t>
      </w:r>
      <w:r>
        <w:rPr>
          <w:vertAlign w:val="baseline"/>
        </w:rPr>
        <w:t>у</w:t>
      </w:r>
      <w:r>
        <w:rPr>
          <w:spacing w:val="-9"/>
          <w:vertAlign w:val="baseline"/>
        </w:rPr>
        <w:t> </w:t>
      </w:r>
      <w:r>
        <w:rPr>
          <w:vertAlign w:val="baseline"/>
        </w:rPr>
        <w:t>Републици</w:t>
      </w:r>
      <w:r>
        <w:rPr>
          <w:spacing w:val="-3"/>
          <w:vertAlign w:val="baseline"/>
        </w:rPr>
        <w:t> </w:t>
      </w:r>
      <w:r>
        <w:rPr>
          <w:vertAlign w:val="baseline"/>
        </w:rPr>
        <w:t>Србији</w:t>
      </w:r>
      <w:r>
        <w:rPr>
          <w:spacing w:val="-3"/>
          <w:vertAlign w:val="baseline"/>
        </w:rPr>
        <w:t> </w:t>
      </w:r>
      <w:r>
        <w:rPr>
          <w:vertAlign w:val="baseline"/>
        </w:rPr>
        <w:t>за</w:t>
      </w:r>
      <w:r>
        <w:rPr>
          <w:spacing w:val="-5"/>
          <w:vertAlign w:val="baseline"/>
        </w:rPr>
        <w:t> </w:t>
      </w:r>
      <w:r>
        <w:rPr>
          <w:vertAlign w:val="baseline"/>
        </w:rPr>
        <w:t>период</w:t>
      </w:r>
      <w:r>
        <w:rPr>
          <w:spacing w:val="-4"/>
          <w:vertAlign w:val="baseline"/>
        </w:rPr>
        <w:t> </w:t>
      </w:r>
      <w:r>
        <w:rPr>
          <w:vertAlign w:val="baseline"/>
        </w:rPr>
        <w:t>од</w:t>
      </w:r>
      <w:r>
        <w:rPr>
          <w:spacing w:val="-4"/>
          <w:vertAlign w:val="baseline"/>
        </w:rPr>
        <w:t> </w:t>
      </w:r>
      <w:r>
        <w:rPr>
          <w:spacing w:val="-2"/>
          <w:vertAlign w:val="baseline"/>
        </w:rPr>
        <w:t>2021.</w:t>
      </w:r>
    </w:p>
    <w:p>
      <w:pPr>
        <w:pStyle w:val="BodyText"/>
        <w:spacing w:before="94"/>
        <w:ind w:left="0"/>
        <w:jc w:val="left"/>
        <w:rPr>
          <w:sz w:val="20"/>
        </w:rPr>
      </w:pPr>
      <w:r>
        <w:rPr>
          <w:sz w:val="20"/>
        </w:rPr>
        <mc:AlternateContent>
          <mc:Choice Requires="wps">
            <w:drawing>
              <wp:anchor distT="0" distB="0" distL="0" distR="0" allowOverlap="1" layoutInCell="1" locked="0" behindDoc="1" simplePos="0" relativeHeight="487587840">
                <wp:simplePos x="0" y="0"/>
                <wp:positionH relativeFrom="page">
                  <wp:posOffset>914704</wp:posOffset>
                </wp:positionH>
                <wp:positionV relativeFrom="paragraph">
                  <wp:posOffset>221478</wp:posOffset>
                </wp:positionV>
                <wp:extent cx="1829435" cy="95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439249pt;width:144.020pt;height:.71997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line="242" w:lineRule="auto" w:before="113"/>
        <w:ind w:left="360" w:right="717" w:firstLine="0"/>
        <w:jc w:val="both"/>
        <w:rPr>
          <w:i/>
          <w:sz w:val="18"/>
        </w:rPr>
      </w:pPr>
      <w:r>
        <w:rPr>
          <w:sz w:val="18"/>
          <w:vertAlign w:val="superscript"/>
        </w:rPr>
        <w:t>1</w:t>
      </w:r>
      <w:r>
        <w:rPr>
          <w:sz w:val="18"/>
          <w:vertAlign w:val="baseline"/>
        </w:rPr>
        <w:t> Институције и актери укључени у</w:t>
      </w:r>
      <w:r>
        <w:rPr>
          <w:spacing w:val="-3"/>
          <w:sz w:val="18"/>
          <w:vertAlign w:val="baseline"/>
        </w:rPr>
        <w:t> </w:t>
      </w:r>
      <w:r>
        <w:rPr>
          <w:sz w:val="18"/>
          <w:vertAlign w:val="baseline"/>
        </w:rPr>
        <w:t>рад Радне групе: </w:t>
      </w:r>
      <w:r>
        <w:rPr>
          <w:i/>
          <w:sz w:val="18"/>
          <w:vertAlign w:val="baseline"/>
        </w:rPr>
        <w:t>Министарство за рад, запошљавање, борачка и социјална питања, Министарство привреде, Министарство просвете, науке и технолошког развоја, Министарство државне управе и локалне самоуправе, Министарство за европске интеграције, Министарство финансија, Министарство омладине и спорта,</w:t>
      </w:r>
      <w:r>
        <w:rPr>
          <w:i/>
          <w:spacing w:val="10"/>
          <w:sz w:val="18"/>
          <w:vertAlign w:val="baseline"/>
        </w:rPr>
        <w:t> </w:t>
      </w:r>
      <w:r>
        <w:rPr>
          <w:i/>
          <w:sz w:val="18"/>
          <w:vertAlign w:val="baseline"/>
        </w:rPr>
        <w:t>Национална</w:t>
      </w:r>
      <w:r>
        <w:rPr>
          <w:i/>
          <w:spacing w:val="13"/>
          <w:sz w:val="18"/>
          <w:vertAlign w:val="baseline"/>
        </w:rPr>
        <w:t> </w:t>
      </w:r>
      <w:r>
        <w:rPr>
          <w:i/>
          <w:sz w:val="18"/>
          <w:vertAlign w:val="baseline"/>
        </w:rPr>
        <w:t>служба</w:t>
      </w:r>
      <w:r>
        <w:rPr>
          <w:i/>
          <w:spacing w:val="13"/>
          <w:sz w:val="18"/>
          <w:vertAlign w:val="baseline"/>
        </w:rPr>
        <w:t> </w:t>
      </w:r>
      <w:r>
        <w:rPr>
          <w:i/>
          <w:sz w:val="18"/>
          <w:vertAlign w:val="baseline"/>
        </w:rPr>
        <w:t>за</w:t>
      </w:r>
      <w:r>
        <w:rPr>
          <w:i/>
          <w:spacing w:val="12"/>
          <w:sz w:val="18"/>
          <w:vertAlign w:val="baseline"/>
        </w:rPr>
        <w:t> </w:t>
      </w:r>
      <w:r>
        <w:rPr>
          <w:i/>
          <w:sz w:val="18"/>
          <w:vertAlign w:val="baseline"/>
        </w:rPr>
        <w:t>запошљавање,</w:t>
      </w:r>
      <w:r>
        <w:rPr>
          <w:i/>
          <w:spacing w:val="13"/>
          <w:sz w:val="18"/>
          <w:vertAlign w:val="baseline"/>
        </w:rPr>
        <w:t> </w:t>
      </w:r>
      <w:r>
        <w:rPr>
          <w:i/>
          <w:sz w:val="18"/>
          <w:vertAlign w:val="baseline"/>
        </w:rPr>
        <w:t>Републички</w:t>
      </w:r>
      <w:r>
        <w:rPr>
          <w:i/>
          <w:spacing w:val="13"/>
          <w:sz w:val="18"/>
          <w:vertAlign w:val="baseline"/>
        </w:rPr>
        <w:t> </w:t>
      </w:r>
      <w:r>
        <w:rPr>
          <w:i/>
          <w:sz w:val="18"/>
          <w:vertAlign w:val="baseline"/>
        </w:rPr>
        <w:t>секретаријат</w:t>
      </w:r>
      <w:r>
        <w:rPr>
          <w:i/>
          <w:spacing w:val="12"/>
          <w:sz w:val="18"/>
          <w:vertAlign w:val="baseline"/>
        </w:rPr>
        <w:t> </w:t>
      </w:r>
      <w:r>
        <w:rPr>
          <w:i/>
          <w:sz w:val="18"/>
          <w:vertAlign w:val="baseline"/>
        </w:rPr>
        <w:t>за</w:t>
      </w:r>
      <w:r>
        <w:rPr>
          <w:i/>
          <w:spacing w:val="12"/>
          <w:sz w:val="18"/>
          <w:vertAlign w:val="baseline"/>
        </w:rPr>
        <w:t> </w:t>
      </w:r>
      <w:r>
        <w:rPr>
          <w:i/>
          <w:sz w:val="18"/>
          <w:vertAlign w:val="baseline"/>
        </w:rPr>
        <w:t>јавне</w:t>
      </w:r>
      <w:r>
        <w:rPr>
          <w:i/>
          <w:spacing w:val="11"/>
          <w:sz w:val="18"/>
          <w:vertAlign w:val="baseline"/>
        </w:rPr>
        <w:t> </w:t>
      </w:r>
      <w:r>
        <w:rPr>
          <w:i/>
          <w:sz w:val="18"/>
          <w:vertAlign w:val="baseline"/>
        </w:rPr>
        <w:t>политике,</w:t>
      </w:r>
      <w:r>
        <w:rPr>
          <w:i/>
          <w:spacing w:val="10"/>
          <w:sz w:val="18"/>
          <w:vertAlign w:val="baseline"/>
        </w:rPr>
        <w:t> </w:t>
      </w:r>
      <w:r>
        <w:rPr>
          <w:i/>
          <w:sz w:val="18"/>
          <w:vertAlign w:val="baseline"/>
        </w:rPr>
        <w:t>Привредна</w:t>
      </w:r>
      <w:r>
        <w:rPr>
          <w:i/>
          <w:spacing w:val="13"/>
          <w:sz w:val="18"/>
          <w:vertAlign w:val="baseline"/>
        </w:rPr>
        <w:t> </w:t>
      </w:r>
      <w:r>
        <w:rPr>
          <w:i/>
          <w:sz w:val="18"/>
          <w:vertAlign w:val="baseline"/>
        </w:rPr>
        <w:t>комора</w:t>
      </w:r>
      <w:r>
        <w:rPr>
          <w:i/>
          <w:spacing w:val="13"/>
          <w:sz w:val="18"/>
          <w:vertAlign w:val="baseline"/>
        </w:rPr>
        <w:t> </w:t>
      </w:r>
      <w:r>
        <w:rPr>
          <w:i/>
          <w:spacing w:val="-2"/>
          <w:sz w:val="18"/>
          <w:vertAlign w:val="baseline"/>
        </w:rPr>
        <w:t>Србије,</w:t>
      </w:r>
    </w:p>
    <w:p>
      <w:pPr>
        <w:spacing w:after="0" w:line="242" w:lineRule="auto"/>
        <w:jc w:val="both"/>
        <w:rPr>
          <w:i/>
          <w:sz w:val="18"/>
        </w:rPr>
        <w:sectPr>
          <w:footerReference w:type="default" r:id="rId5"/>
          <w:type w:val="continuous"/>
          <w:pgSz w:w="12240" w:h="15840"/>
          <w:pgMar w:header="0" w:footer="702" w:top="1360" w:bottom="900" w:left="1080" w:right="720"/>
          <w:pgNumType w:start="1"/>
        </w:sectPr>
      </w:pPr>
    </w:p>
    <w:p>
      <w:pPr>
        <w:pStyle w:val="BodyText"/>
        <w:spacing w:before="72"/>
        <w:ind w:right="718"/>
      </w:pPr>
      <w:r>
        <w:rPr/>
        <w:t>до</w:t>
      </w:r>
      <w:r>
        <w:rPr>
          <w:spacing w:val="-12"/>
        </w:rPr>
        <w:t> </w:t>
      </w:r>
      <w:r>
        <w:rPr/>
        <w:t>2026.</w:t>
      </w:r>
      <w:r>
        <w:rPr>
          <w:spacing w:val="-12"/>
        </w:rPr>
        <w:t> </w:t>
      </w:r>
      <w:r>
        <w:rPr/>
        <w:t>године</w:t>
      </w:r>
      <w:r>
        <w:rPr>
          <w:spacing w:val="-13"/>
        </w:rPr>
        <w:t> </w:t>
      </w:r>
      <w:r>
        <w:rPr/>
        <w:t>и</w:t>
      </w:r>
      <w:r>
        <w:rPr>
          <w:spacing w:val="-14"/>
        </w:rPr>
        <w:t> </w:t>
      </w:r>
      <w:r>
        <w:rPr/>
        <w:t>пратећег</w:t>
      </w:r>
      <w:r>
        <w:rPr>
          <w:spacing w:val="-12"/>
        </w:rPr>
        <w:t> </w:t>
      </w:r>
      <w:r>
        <w:rPr/>
        <w:t>акционог</w:t>
      </w:r>
      <w:r>
        <w:rPr>
          <w:spacing w:val="-12"/>
        </w:rPr>
        <w:t> </w:t>
      </w:r>
      <w:r>
        <w:rPr/>
        <w:t>плана</w:t>
      </w:r>
      <w:r>
        <w:rPr>
          <w:spacing w:val="-13"/>
        </w:rPr>
        <w:t> </w:t>
      </w:r>
      <w:r>
        <w:rPr/>
        <w:t>запошљавања</w:t>
      </w:r>
      <w:r>
        <w:rPr>
          <w:spacing w:val="-13"/>
        </w:rPr>
        <w:t> </w:t>
      </w:r>
      <w:r>
        <w:rPr/>
        <w:t>за</w:t>
      </w:r>
      <w:r>
        <w:rPr>
          <w:spacing w:val="-13"/>
        </w:rPr>
        <w:t> </w:t>
      </w:r>
      <w:r>
        <w:rPr/>
        <w:t>период</w:t>
      </w:r>
      <w:r>
        <w:rPr>
          <w:spacing w:val="-12"/>
        </w:rPr>
        <w:t> </w:t>
      </w:r>
      <w:r>
        <w:rPr/>
        <w:t>од</w:t>
      </w:r>
      <w:r>
        <w:rPr>
          <w:spacing w:val="-11"/>
        </w:rPr>
        <w:t> </w:t>
      </w:r>
      <w:r>
        <w:rPr/>
        <w:t>2021.</w:t>
      </w:r>
      <w:r>
        <w:rPr>
          <w:spacing w:val="-12"/>
        </w:rPr>
        <w:t> </w:t>
      </w:r>
      <w:r>
        <w:rPr/>
        <w:t>до</w:t>
      </w:r>
      <w:r>
        <w:rPr>
          <w:spacing w:val="-12"/>
        </w:rPr>
        <w:t> </w:t>
      </w:r>
      <w:r>
        <w:rPr/>
        <w:t>2023.</w:t>
      </w:r>
      <w:r>
        <w:rPr>
          <w:spacing w:val="-12"/>
        </w:rPr>
        <w:t> </w:t>
      </w:r>
      <w:r>
        <w:rPr/>
        <w:t>године (у даљем тексту Радна група).</w:t>
      </w:r>
    </w:p>
    <w:p>
      <w:pPr>
        <w:pStyle w:val="BodyText"/>
        <w:ind w:left="463" w:right="823" w:firstLine="616"/>
      </w:pPr>
      <w:r>
        <w:rPr/>
        <w:t>Консултативни процес током израде Стратегије подразумевао је организовање састанака Радне групе, у јуну и новембру 2020. године.Такође, у оквиру процеса израде Ex-ante</w:t>
      </w:r>
      <w:r>
        <w:rPr>
          <w:spacing w:val="-15"/>
        </w:rPr>
        <w:t> </w:t>
      </w:r>
      <w:r>
        <w:rPr/>
        <w:t>анализе</w:t>
      </w:r>
      <w:r>
        <w:rPr>
          <w:spacing w:val="-15"/>
        </w:rPr>
        <w:t> </w:t>
      </w:r>
      <w:r>
        <w:rPr/>
        <w:t>Стратегије</w:t>
      </w:r>
      <w:r>
        <w:rPr>
          <w:spacing w:val="-15"/>
        </w:rPr>
        <w:t> </w:t>
      </w:r>
      <w:r>
        <w:rPr/>
        <w:t>запошљавања</w:t>
      </w:r>
      <w:r>
        <w:rPr>
          <w:spacing w:val="-15"/>
        </w:rPr>
        <w:t> </w:t>
      </w:r>
      <w:r>
        <w:rPr/>
        <w:t>за</w:t>
      </w:r>
      <w:r>
        <w:rPr>
          <w:spacing w:val="-15"/>
        </w:rPr>
        <w:t> </w:t>
      </w:r>
      <w:r>
        <w:rPr/>
        <w:t>период</w:t>
      </w:r>
      <w:r>
        <w:rPr>
          <w:spacing w:val="-15"/>
        </w:rPr>
        <w:t> </w:t>
      </w:r>
      <w:r>
        <w:rPr/>
        <w:t>од</w:t>
      </w:r>
      <w:r>
        <w:rPr>
          <w:spacing w:val="-15"/>
        </w:rPr>
        <w:t> </w:t>
      </w:r>
      <w:r>
        <w:rPr/>
        <w:t>2021.</w:t>
      </w:r>
      <w:r>
        <w:rPr>
          <w:spacing w:val="-15"/>
        </w:rPr>
        <w:t> </w:t>
      </w:r>
      <w:r>
        <w:rPr/>
        <w:t>до</w:t>
      </w:r>
      <w:r>
        <w:rPr>
          <w:spacing w:val="-15"/>
        </w:rPr>
        <w:t> </w:t>
      </w:r>
      <w:r>
        <w:rPr/>
        <w:t>2026.</w:t>
      </w:r>
      <w:r>
        <w:rPr>
          <w:spacing w:val="-15"/>
        </w:rPr>
        <w:t> </w:t>
      </w:r>
      <w:r>
        <w:rPr/>
        <w:t>године</w:t>
      </w:r>
      <w:r>
        <w:rPr>
          <w:spacing w:val="-15"/>
        </w:rPr>
        <w:t> </w:t>
      </w:r>
      <w:r>
        <w:rPr/>
        <w:t>организоване су</w:t>
      </w:r>
      <w:r>
        <w:rPr>
          <w:spacing w:val="-3"/>
        </w:rPr>
        <w:t> </w:t>
      </w:r>
      <w:r>
        <w:rPr/>
        <w:t>и спроведене три фокус групе, и то са доносиоцима одлука на националном нивоу, са социјалним партнерима и са представницима организација цивилног друштва и независним</w:t>
      </w:r>
      <w:r>
        <w:rPr>
          <w:spacing w:val="-1"/>
        </w:rPr>
        <w:t> </w:t>
      </w:r>
      <w:r>
        <w:rPr/>
        <w:t>експертима</w:t>
      </w:r>
      <w:r>
        <w:rPr>
          <w:spacing w:val="-1"/>
        </w:rPr>
        <w:t> </w:t>
      </w:r>
      <w:r>
        <w:rPr/>
        <w:t>из области запошљавања.</w:t>
      </w:r>
      <w:r>
        <w:rPr>
          <w:spacing w:val="-4"/>
        </w:rPr>
        <w:t> </w:t>
      </w:r>
      <w:r>
        <w:rPr/>
        <w:t>Циљ организовања фокус</w:t>
      </w:r>
      <w:r>
        <w:rPr>
          <w:spacing w:val="-1"/>
        </w:rPr>
        <w:t> </w:t>
      </w:r>
      <w:r>
        <w:rPr/>
        <w:t>група био је да се на темељу уочених проблема, а из угла различитих заинтересованих страна дају препоруке за њихово ефикасно решавање а које су садржане у оквиру Ex-ante анализе.</w:t>
      </w:r>
    </w:p>
    <w:p>
      <w:pPr>
        <w:pStyle w:val="BodyText"/>
        <w:spacing w:before="241"/>
        <w:ind w:left="0"/>
        <w:jc w:val="left"/>
      </w:pPr>
    </w:p>
    <w:p>
      <w:pPr>
        <w:pStyle w:val="BodyText"/>
        <w:ind w:left="1080"/>
        <w:jc w:val="left"/>
      </w:pPr>
      <w:r>
        <w:rPr/>
        <w:t>ЈАВНА</w:t>
      </w:r>
      <w:r>
        <w:rPr>
          <w:spacing w:val="-7"/>
        </w:rPr>
        <w:t> </w:t>
      </w:r>
      <w:r>
        <w:rPr/>
        <w:t>РАСПРАВА…..(изештај</w:t>
      </w:r>
      <w:r>
        <w:rPr>
          <w:spacing w:val="-3"/>
        </w:rPr>
        <w:t> </w:t>
      </w:r>
      <w:r>
        <w:rPr/>
        <w:t>након</w:t>
      </w:r>
      <w:r>
        <w:rPr>
          <w:spacing w:val="-3"/>
        </w:rPr>
        <w:t> </w:t>
      </w:r>
      <w:r>
        <w:rPr/>
        <w:t>окончања</w:t>
      </w:r>
      <w:r>
        <w:rPr>
          <w:spacing w:val="-4"/>
        </w:rPr>
        <w:t> </w:t>
      </w:r>
      <w:r>
        <w:rPr/>
        <w:t>јавне</w:t>
      </w:r>
      <w:r>
        <w:rPr>
          <w:spacing w:val="-4"/>
        </w:rPr>
        <w:t> </w:t>
      </w:r>
      <w:r>
        <w:rPr>
          <w:spacing w:val="-2"/>
        </w:rPr>
        <w:t>расправе)</w:t>
      </w:r>
    </w:p>
    <w:p>
      <w:pPr>
        <w:pStyle w:val="BodyText"/>
        <w:spacing w:before="245"/>
        <w:ind w:left="0"/>
        <w:jc w:val="left"/>
      </w:pPr>
    </w:p>
    <w:p>
      <w:pPr>
        <w:pStyle w:val="Heading1"/>
        <w:numPr>
          <w:ilvl w:val="0"/>
          <w:numId w:val="1"/>
        </w:numPr>
        <w:tabs>
          <w:tab w:pos="725" w:val="left" w:leader="none"/>
        </w:tabs>
        <w:spacing w:line="240" w:lineRule="auto" w:before="0" w:after="0"/>
        <w:ind w:left="725" w:right="0" w:hanging="360"/>
        <w:jc w:val="left"/>
      </w:pPr>
      <w:r>
        <w:rPr/>
        <w:t>ПРАВНИ</w:t>
      </w:r>
      <w:r>
        <w:rPr>
          <w:spacing w:val="-3"/>
        </w:rPr>
        <w:t> </w:t>
      </w:r>
      <w:r>
        <w:rPr/>
        <w:t>ОКВИР</w:t>
      </w:r>
      <w:r>
        <w:rPr>
          <w:spacing w:val="-4"/>
        </w:rPr>
        <w:t> </w:t>
      </w:r>
      <w:r>
        <w:rPr/>
        <w:t>И</w:t>
      </w:r>
      <w:r>
        <w:rPr>
          <w:spacing w:val="-2"/>
        </w:rPr>
        <w:t> </w:t>
      </w:r>
      <w:r>
        <w:rPr/>
        <w:t>ПЛАНСКИ</w:t>
      </w:r>
      <w:r>
        <w:rPr>
          <w:spacing w:val="-3"/>
        </w:rPr>
        <w:t> </w:t>
      </w:r>
      <w:r>
        <w:rPr/>
        <w:t>ДОКУМЕНТИ</w:t>
      </w:r>
      <w:r>
        <w:rPr>
          <w:spacing w:val="-2"/>
        </w:rPr>
        <w:t> </w:t>
      </w:r>
      <w:r>
        <w:rPr/>
        <w:t>РЕЛЕВАНТНИ</w:t>
      </w:r>
      <w:r>
        <w:rPr>
          <w:spacing w:val="-4"/>
        </w:rPr>
        <w:t> </w:t>
      </w:r>
      <w:r>
        <w:rPr/>
        <w:t>ЗА </w:t>
      </w:r>
      <w:r>
        <w:rPr>
          <w:spacing w:val="-2"/>
        </w:rPr>
        <w:t>СТРАТЕГИЈУ</w:t>
      </w:r>
    </w:p>
    <w:p>
      <w:pPr>
        <w:pStyle w:val="BodyText"/>
        <w:spacing w:before="115"/>
        <w:ind w:left="0"/>
        <w:jc w:val="left"/>
        <w:rPr>
          <w:b/>
        </w:rPr>
      </w:pPr>
    </w:p>
    <w:p>
      <w:pPr>
        <w:spacing w:before="0"/>
        <w:ind w:left="360" w:right="710" w:firstLine="719"/>
        <w:jc w:val="both"/>
        <w:rPr>
          <w:i/>
          <w:sz w:val="24"/>
        </w:rPr>
      </w:pPr>
      <w:r>
        <w:rPr>
          <w:sz w:val="24"/>
        </w:rPr>
        <w:t>Закони којима се уређује област запошљавања, као и закони који су релевантни за ову област су: Закон о запошљавању и осигурању за случај незапослености </w:t>
      </w:r>
      <w:r>
        <w:rPr>
          <w:i/>
          <w:sz w:val="24"/>
        </w:rPr>
        <w:t>(„Службени гласник РС”, бр. 36/09, 88/10, 38/15, 113/17 – др. закон и 113/17), </w:t>
      </w:r>
      <w:r>
        <w:rPr>
          <w:sz w:val="24"/>
        </w:rPr>
        <w:t>Закон о професионалној рехабилитацији и запошљавању особа са инвалидитетом </w:t>
      </w:r>
      <w:r>
        <w:rPr>
          <w:i/>
          <w:sz w:val="24"/>
        </w:rPr>
        <w:t>(„Службени гласник РС”, бр. 36/09</w:t>
      </w:r>
      <w:r>
        <w:rPr>
          <w:i/>
          <w:spacing w:val="-8"/>
          <w:sz w:val="24"/>
        </w:rPr>
        <w:t> </w:t>
      </w:r>
      <w:r>
        <w:rPr>
          <w:i/>
          <w:sz w:val="24"/>
        </w:rPr>
        <w:t>и</w:t>
      </w:r>
      <w:r>
        <w:rPr>
          <w:i/>
          <w:spacing w:val="-8"/>
          <w:sz w:val="24"/>
        </w:rPr>
        <w:t> </w:t>
      </w:r>
      <w:r>
        <w:rPr>
          <w:i/>
          <w:sz w:val="24"/>
        </w:rPr>
        <w:t>32/13),</w:t>
      </w:r>
      <w:r>
        <w:rPr>
          <w:i/>
          <w:spacing w:val="-8"/>
          <w:sz w:val="24"/>
        </w:rPr>
        <w:t> </w:t>
      </w:r>
      <w:r>
        <w:rPr>
          <w:sz w:val="24"/>
        </w:rPr>
        <w:t>Закон</w:t>
      </w:r>
      <w:r>
        <w:rPr>
          <w:spacing w:val="-7"/>
          <w:sz w:val="24"/>
        </w:rPr>
        <w:t> </w:t>
      </w:r>
      <w:r>
        <w:rPr>
          <w:sz w:val="24"/>
        </w:rPr>
        <w:t>о</w:t>
      </w:r>
      <w:r>
        <w:rPr>
          <w:spacing w:val="-11"/>
          <w:sz w:val="24"/>
        </w:rPr>
        <w:t> </w:t>
      </w:r>
      <w:r>
        <w:rPr>
          <w:sz w:val="24"/>
        </w:rPr>
        <w:t>запошљавању</w:t>
      </w:r>
      <w:r>
        <w:rPr>
          <w:spacing w:val="-13"/>
          <w:sz w:val="24"/>
        </w:rPr>
        <w:t> </w:t>
      </w:r>
      <w:r>
        <w:rPr>
          <w:sz w:val="24"/>
        </w:rPr>
        <w:t>странаца</w:t>
      </w:r>
      <w:r>
        <w:rPr>
          <w:spacing w:val="-4"/>
          <w:sz w:val="24"/>
        </w:rPr>
        <w:t> </w:t>
      </w:r>
      <w:r>
        <w:rPr>
          <w:i/>
          <w:sz w:val="24"/>
        </w:rPr>
        <w:t>(„Службени</w:t>
      </w:r>
      <w:r>
        <w:rPr>
          <w:i/>
          <w:spacing w:val="-8"/>
          <w:sz w:val="24"/>
        </w:rPr>
        <w:t> </w:t>
      </w:r>
      <w:r>
        <w:rPr>
          <w:i/>
          <w:sz w:val="24"/>
        </w:rPr>
        <w:t>гласник</w:t>
      </w:r>
      <w:r>
        <w:rPr>
          <w:i/>
          <w:spacing w:val="-10"/>
          <w:sz w:val="24"/>
        </w:rPr>
        <w:t> </w:t>
      </w:r>
      <w:r>
        <w:rPr>
          <w:i/>
          <w:sz w:val="24"/>
        </w:rPr>
        <w:t>РС”,</w:t>
      </w:r>
      <w:r>
        <w:rPr>
          <w:i/>
          <w:spacing w:val="-8"/>
          <w:sz w:val="24"/>
        </w:rPr>
        <w:t> </w:t>
      </w:r>
      <w:r>
        <w:rPr>
          <w:i/>
          <w:sz w:val="24"/>
        </w:rPr>
        <w:t>бр.</w:t>
      </w:r>
      <w:r>
        <w:rPr>
          <w:i/>
          <w:spacing w:val="-8"/>
          <w:sz w:val="24"/>
        </w:rPr>
        <w:t> </w:t>
      </w:r>
      <w:r>
        <w:rPr>
          <w:i/>
          <w:sz w:val="24"/>
        </w:rPr>
        <w:t>128/14,</w:t>
      </w:r>
      <w:r>
        <w:rPr>
          <w:i/>
          <w:spacing w:val="-8"/>
          <w:sz w:val="24"/>
        </w:rPr>
        <w:t> </w:t>
      </w:r>
      <w:r>
        <w:rPr>
          <w:i/>
          <w:sz w:val="24"/>
        </w:rPr>
        <w:t>113/17, 50/18</w:t>
      </w:r>
      <w:r>
        <w:rPr>
          <w:i/>
          <w:spacing w:val="-7"/>
          <w:sz w:val="24"/>
        </w:rPr>
        <w:t> </w:t>
      </w:r>
      <w:r>
        <w:rPr>
          <w:i/>
          <w:sz w:val="24"/>
        </w:rPr>
        <w:t>и</w:t>
      </w:r>
      <w:r>
        <w:rPr>
          <w:i/>
          <w:spacing w:val="-7"/>
          <w:sz w:val="24"/>
        </w:rPr>
        <w:t> </w:t>
      </w:r>
      <w:r>
        <w:rPr>
          <w:i/>
          <w:sz w:val="24"/>
        </w:rPr>
        <w:t>31/19),</w:t>
      </w:r>
      <w:r>
        <w:rPr>
          <w:i/>
          <w:spacing w:val="-7"/>
          <w:sz w:val="24"/>
        </w:rPr>
        <w:t> </w:t>
      </w:r>
      <w:r>
        <w:rPr>
          <w:sz w:val="24"/>
        </w:rPr>
        <w:t>Закон</w:t>
      </w:r>
      <w:r>
        <w:rPr>
          <w:spacing w:val="-6"/>
          <w:sz w:val="24"/>
        </w:rPr>
        <w:t> </w:t>
      </w:r>
      <w:r>
        <w:rPr>
          <w:sz w:val="24"/>
        </w:rPr>
        <w:t>о</w:t>
      </w:r>
      <w:r>
        <w:rPr>
          <w:spacing w:val="-5"/>
          <w:sz w:val="24"/>
        </w:rPr>
        <w:t> </w:t>
      </w:r>
      <w:r>
        <w:rPr>
          <w:sz w:val="24"/>
        </w:rPr>
        <w:t>раду</w:t>
      </w:r>
      <w:r>
        <w:rPr>
          <w:spacing w:val="-10"/>
          <w:sz w:val="24"/>
        </w:rPr>
        <w:t> </w:t>
      </w:r>
      <w:r>
        <w:rPr>
          <w:sz w:val="24"/>
        </w:rPr>
        <w:t>(„</w:t>
      </w:r>
      <w:r>
        <w:rPr>
          <w:i/>
          <w:sz w:val="24"/>
        </w:rPr>
        <w:t>Службени</w:t>
      </w:r>
      <w:r>
        <w:rPr>
          <w:i/>
          <w:spacing w:val="-7"/>
          <w:sz w:val="24"/>
        </w:rPr>
        <w:t> </w:t>
      </w:r>
      <w:r>
        <w:rPr>
          <w:i/>
          <w:sz w:val="24"/>
        </w:rPr>
        <w:t>гласник</w:t>
      </w:r>
      <w:r>
        <w:rPr>
          <w:i/>
          <w:spacing w:val="-7"/>
          <w:sz w:val="24"/>
        </w:rPr>
        <w:t> </w:t>
      </w:r>
      <w:r>
        <w:rPr>
          <w:i/>
          <w:sz w:val="24"/>
        </w:rPr>
        <w:t>РСˮ,</w:t>
      </w:r>
      <w:r>
        <w:rPr>
          <w:i/>
          <w:spacing w:val="-7"/>
          <w:sz w:val="24"/>
        </w:rPr>
        <w:t> </w:t>
      </w:r>
      <w:r>
        <w:rPr>
          <w:i/>
          <w:sz w:val="24"/>
        </w:rPr>
        <w:t>бр.</w:t>
      </w:r>
      <w:r>
        <w:rPr>
          <w:i/>
          <w:spacing w:val="-7"/>
          <w:sz w:val="24"/>
        </w:rPr>
        <w:t> </w:t>
      </w:r>
      <w:r>
        <w:rPr>
          <w:i/>
          <w:sz w:val="24"/>
        </w:rPr>
        <w:t>24/05,</w:t>
      </w:r>
      <w:r>
        <w:rPr>
          <w:i/>
          <w:spacing w:val="-7"/>
          <w:sz w:val="24"/>
        </w:rPr>
        <w:t> </w:t>
      </w:r>
      <w:r>
        <w:rPr>
          <w:i/>
          <w:sz w:val="24"/>
        </w:rPr>
        <w:t>61/05,</w:t>
      </w:r>
      <w:r>
        <w:rPr>
          <w:i/>
          <w:spacing w:val="-7"/>
          <w:sz w:val="24"/>
        </w:rPr>
        <w:t> </w:t>
      </w:r>
      <w:r>
        <w:rPr>
          <w:i/>
          <w:sz w:val="24"/>
        </w:rPr>
        <w:t>54/09,</w:t>
      </w:r>
      <w:r>
        <w:rPr>
          <w:i/>
          <w:spacing w:val="-7"/>
          <w:sz w:val="24"/>
        </w:rPr>
        <w:t> </w:t>
      </w:r>
      <w:r>
        <w:rPr>
          <w:i/>
          <w:sz w:val="24"/>
        </w:rPr>
        <w:t>32/13</w:t>
      </w:r>
      <w:r>
        <w:rPr>
          <w:i/>
          <w:spacing w:val="-7"/>
          <w:sz w:val="24"/>
        </w:rPr>
        <w:t> </w:t>
      </w:r>
      <w:r>
        <w:rPr>
          <w:i/>
          <w:sz w:val="24"/>
        </w:rPr>
        <w:t>и</w:t>
      </w:r>
      <w:r>
        <w:rPr>
          <w:i/>
          <w:spacing w:val="-7"/>
          <w:sz w:val="24"/>
        </w:rPr>
        <w:t> </w:t>
      </w:r>
      <w:r>
        <w:rPr>
          <w:i/>
          <w:sz w:val="24"/>
        </w:rPr>
        <w:t>75/14</w:t>
      </w:r>
      <w:r>
        <w:rPr>
          <w:sz w:val="24"/>
        </w:rPr>
        <w:t>), Закон о поједностављеном радном ангажовању на сезонским пословима у одређеним делатностима </w:t>
      </w:r>
      <w:r>
        <w:rPr>
          <w:i/>
          <w:sz w:val="24"/>
        </w:rPr>
        <w:t>(„Службени гласник РС”, број 50/18), </w:t>
      </w:r>
      <w:r>
        <w:rPr>
          <w:sz w:val="24"/>
        </w:rPr>
        <w:t>Закон о агенцијском запошљавању </w:t>
      </w:r>
      <w:r>
        <w:rPr>
          <w:i/>
          <w:sz w:val="24"/>
        </w:rPr>
        <w:t>(„Службени гласник РС”, број 86/19) </w:t>
      </w:r>
      <w:r>
        <w:rPr>
          <w:sz w:val="24"/>
        </w:rPr>
        <w:t>и Закон о Националном оквиру квалификација Републике</w:t>
      </w:r>
      <w:r>
        <w:rPr>
          <w:spacing w:val="-1"/>
          <w:sz w:val="24"/>
        </w:rPr>
        <w:t> </w:t>
      </w:r>
      <w:r>
        <w:rPr>
          <w:sz w:val="24"/>
        </w:rPr>
        <w:t>Србије</w:t>
      </w:r>
      <w:r>
        <w:rPr>
          <w:spacing w:val="-1"/>
          <w:sz w:val="24"/>
        </w:rPr>
        <w:t> </w:t>
      </w:r>
      <w:r>
        <w:rPr>
          <w:i/>
          <w:sz w:val="24"/>
        </w:rPr>
        <w:t>(„Службенигласник</w:t>
      </w:r>
      <w:r>
        <w:rPr>
          <w:i/>
          <w:spacing w:val="-1"/>
          <w:sz w:val="24"/>
        </w:rPr>
        <w:t> </w:t>
      </w:r>
      <w:r>
        <w:rPr>
          <w:i/>
          <w:sz w:val="24"/>
        </w:rPr>
        <w:t>РС”,</w:t>
      </w:r>
      <w:r>
        <w:rPr>
          <w:i/>
          <w:spacing w:val="-5"/>
          <w:sz w:val="24"/>
        </w:rPr>
        <w:t> </w:t>
      </w:r>
      <w:r>
        <w:rPr>
          <w:i/>
          <w:sz w:val="24"/>
        </w:rPr>
        <w:t>бр. 27/18 и 6/20).</w:t>
      </w:r>
    </w:p>
    <w:p>
      <w:pPr>
        <w:spacing w:before="121"/>
        <w:ind w:left="360" w:right="713" w:firstLine="719"/>
        <w:jc w:val="both"/>
        <w:rPr>
          <w:i/>
          <w:sz w:val="24"/>
        </w:rPr>
      </w:pPr>
      <w:r>
        <w:rPr>
          <w:sz w:val="24"/>
        </w:rPr>
        <w:t>Докумената јавне политике односно стратегије које се директно или посредно односе на област запошљавања су Национална стратегија за младе за период од 2015. до 2025. године </w:t>
      </w:r>
      <w:r>
        <w:rPr>
          <w:i/>
          <w:sz w:val="24"/>
        </w:rPr>
        <w:t>(„Службени гласник РСˮ, број 22/15), </w:t>
      </w:r>
      <w:r>
        <w:rPr>
          <w:sz w:val="24"/>
        </w:rPr>
        <w:t>Стратегија за социјално укључивање Рома и Ромкиња у Републици Србији за период од 2016. до 2025. године </w:t>
      </w:r>
      <w:r>
        <w:rPr>
          <w:i/>
          <w:sz w:val="24"/>
        </w:rPr>
        <w:t>(„Службени гласник РСˮ, број 26/16), </w:t>
      </w:r>
      <w:r>
        <w:rPr>
          <w:sz w:val="24"/>
        </w:rPr>
        <w:t>Стратегија о економским миграцијама Републике Србије за период 2021 – 2027. године </w:t>
      </w:r>
      <w:r>
        <w:rPr>
          <w:i/>
          <w:sz w:val="24"/>
        </w:rPr>
        <w:t>(„Службени гласник РСˮ, број 21/20), </w:t>
      </w:r>
      <w:r>
        <w:rPr>
          <w:sz w:val="24"/>
        </w:rPr>
        <w:t>Стратегијa развоја дигиталних вештина у Републици Србији за период од 2020. до 2024. године </w:t>
      </w:r>
      <w:r>
        <w:rPr>
          <w:i/>
          <w:sz w:val="24"/>
        </w:rPr>
        <w:t>(„Службени гласник РСˮ, број 21/20), </w:t>
      </w:r>
      <w:r>
        <w:rPr>
          <w:sz w:val="24"/>
        </w:rPr>
        <w:t>Стратегија индустријске политике Републике Србије од 2021. до 2030.</w:t>
      </w:r>
      <w:r>
        <w:rPr>
          <w:spacing w:val="-13"/>
          <w:sz w:val="24"/>
        </w:rPr>
        <w:t> </w:t>
      </w:r>
      <w:r>
        <w:rPr>
          <w:sz w:val="24"/>
        </w:rPr>
        <w:t>године</w:t>
      </w:r>
      <w:r>
        <w:rPr>
          <w:spacing w:val="-13"/>
          <w:sz w:val="24"/>
        </w:rPr>
        <w:t> </w:t>
      </w:r>
      <w:r>
        <w:rPr>
          <w:i/>
          <w:sz w:val="24"/>
        </w:rPr>
        <w:t>(„Службени</w:t>
      </w:r>
      <w:r>
        <w:rPr>
          <w:i/>
          <w:spacing w:val="-13"/>
          <w:sz w:val="24"/>
        </w:rPr>
        <w:t> </w:t>
      </w:r>
      <w:r>
        <w:rPr>
          <w:i/>
          <w:sz w:val="24"/>
        </w:rPr>
        <w:t>гласник</w:t>
      </w:r>
      <w:r>
        <w:rPr>
          <w:i/>
          <w:spacing w:val="-13"/>
          <w:sz w:val="24"/>
        </w:rPr>
        <w:t> </w:t>
      </w:r>
      <w:r>
        <w:rPr>
          <w:i/>
          <w:sz w:val="24"/>
        </w:rPr>
        <w:t>РСˮ,</w:t>
      </w:r>
      <w:r>
        <w:rPr>
          <w:i/>
          <w:spacing w:val="-13"/>
          <w:sz w:val="24"/>
        </w:rPr>
        <w:t> </w:t>
      </w:r>
      <w:r>
        <w:rPr>
          <w:i/>
          <w:sz w:val="24"/>
        </w:rPr>
        <w:t>број</w:t>
      </w:r>
      <w:r>
        <w:rPr>
          <w:i/>
          <w:spacing w:val="-13"/>
          <w:sz w:val="24"/>
        </w:rPr>
        <w:t> </w:t>
      </w:r>
      <w:r>
        <w:rPr>
          <w:i/>
          <w:sz w:val="24"/>
        </w:rPr>
        <w:t>35/20)</w:t>
      </w:r>
      <w:r>
        <w:rPr>
          <w:i/>
          <w:spacing w:val="-14"/>
          <w:sz w:val="24"/>
        </w:rPr>
        <w:t> </w:t>
      </w:r>
      <w:r>
        <w:rPr>
          <w:sz w:val="24"/>
        </w:rPr>
        <w:t>и</w:t>
      </w:r>
      <w:r>
        <w:rPr>
          <w:spacing w:val="-12"/>
          <w:sz w:val="24"/>
        </w:rPr>
        <w:t> </w:t>
      </w:r>
      <w:r>
        <w:rPr>
          <w:sz w:val="24"/>
        </w:rPr>
        <w:t>Стратегија</w:t>
      </w:r>
      <w:r>
        <w:rPr>
          <w:spacing w:val="-9"/>
          <w:sz w:val="24"/>
        </w:rPr>
        <w:t> </w:t>
      </w:r>
      <w:r>
        <w:rPr>
          <w:sz w:val="24"/>
        </w:rPr>
        <w:t>унапређења</w:t>
      </w:r>
      <w:r>
        <w:rPr>
          <w:spacing w:val="-12"/>
          <w:sz w:val="24"/>
        </w:rPr>
        <w:t> </w:t>
      </w:r>
      <w:r>
        <w:rPr>
          <w:sz w:val="24"/>
        </w:rPr>
        <w:t>положаја</w:t>
      </w:r>
      <w:r>
        <w:rPr>
          <w:spacing w:val="-14"/>
          <w:sz w:val="24"/>
        </w:rPr>
        <w:t> </w:t>
      </w:r>
      <w:r>
        <w:rPr>
          <w:sz w:val="24"/>
        </w:rPr>
        <w:t>особа са инвалидитетом од 2020. до 2024. године </w:t>
      </w:r>
      <w:r>
        <w:rPr>
          <w:i/>
          <w:sz w:val="24"/>
        </w:rPr>
        <w:t>(„Службени гласник РСˮ, број 44/20).</w:t>
      </w:r>
    </w:p>
    <w:p>
      <w:pPr>
        <w:pStyle w:val="BodyText"/>
        <w:spacing w:before="120"/>
        <w:ind w:right="717" w:firstLine="719"/>
      </w:pPr>
      <w:r>
        <w:rPr/>
        <w:t>Нajвaжниjи стратешки дoкумeнт у</w:t>
      </w:r>
      <w:r>
        <w:rPr>
          <w:spacing w:val="-1"/>
        </w:rPr>
        <w:t> </w:t>
      </w:r>
      <w:r>
        <w:rPr/>
        <w:t>eкoнoмскoм диjaлoгу сa Eврoпскoм кoмисиjoм и државама</w:t>
      </w:r>
      <w:r>
        <w:rPr>
          <w:spacing w:val="-12"/>
        </w:rPr>
        <w:t> </w:t>
      </w:r>
      <w:r>
        <w:rPr/>
        <w:t>члaницaмa</w:t>
      </w:r>
      <w:r>
        <w:rPr>
          <w:spacing w:val="-12"/>
        </w:rPr>
        <w:t> </w:t>
      </w:r>
      <w:r>
        <w:rPr/>
        <w:t>EУ</w:t>
      </w:r>
      <w:r>
        <w:rPr>
          <w:spacing w:val="-10"/>
        </w:rPr>
        <w:t> </w:t>
      </w:r>
      <w:r>
        <w:rPr/>
        <w:t>је</w:t>
      </w:r>
      <w:r>
        <w:rPr>
          <w:spacing w:val="-9"/>
        </w:rPr>
        <w:t> </w:t>
      </w:r>
      <w:r>
        <w:rPr>
          <w:b/>
        </w:rPr>
        <w:t>Прoгрaм</w:t>
      </w:r>
      <w:r>
        <w:rPr>
          <w:b/>
          <w:spacing w:val="-11"/>
        </w:rPr>
        <w:t> </w:t>
      </w:r>
      <w:r>
        <w:rPr>
          <w:b/>
        </w:rPr>
        <w:t>eкoнoмских</w:t>
      </w:r>
      <w:r>
        <w:rPr>
          <w:b/>
          <w:spacing w:val="-11"/>
        </w:rPr>
        <w:t> </w:t>
      </w:r>
      <w:r>
        <w:rPr>
          <w:b/>
        </w:rPr>
        <w:t>рeфoрми</w:t>
      </w:r>
      <w:r>
        <w:rPr>
          <w:b/>
          <w:spacing w:val="-10"/>
        </w:rPr>
        <w:t> </w:t>
      </w:r>
      <w:r>
        <w:rPr/>
        <w:t>(Economic</w:t>
      </w:r>
      <w:r>
        <w:rPr>
          <w:spacing w:val="-12"/>
        </w:rPr>
        <w:t> </w:t>
      </w:r>
      <w:r>
        <w:rPr/>
        <w:t>Reform</w:t>
      </w:r>
      <w:r>
        <w:rPr>
          <w:spacing w:val="-9"/>
        </w:rPr>
        <w:t> </w:t>
      </w:r>
      <w:r>
        <w:rPr/>
        <w:t>Programme</w:t>
      </w:r>
      <w:r>
        <w:rPr>
          <w:spacing w:val="-8"/>
        </w:rPr>
        <w:t> </w:t>
      </w:r>
      <w:r>
        <w:rPr/>
        <w:t>– ERP). Програм сaдржи средњорочни оквир макроекономске и фискалне политике, као и детаљан приказ структурних рeфoрми које треба да допринесу повећању конкурентности</w:t>
      </w:r>
    </w:p>
    <w:p>
      <w:pPr>
        <w:pStyle w:val="BodyText"/>
        <w:spacing w:before="165"/>
        <w:ind w:left="0"/>
        <w:jc w:val="left"/>
        <w:rPr>
          <w:sz w:val="20"/>
        </w:rPr>
      </w:pPr>
      <w:r>
        <w:rPr>
          <w:sz w:val="20"/>
        </w:rPr>
        <mc:AlternateContent>
          <mc:Choice Requires="wps">
            <w:drawing>
              <wp:anchor distT="0" distB="0" distL="0" distR="0" allowOverlap="1" layoutInCell="1" locked="0" behindDoc="1" simplePos="0" relativeHeight="487588352">
                <wp:simplePos x="0" y="0"/>
                <wp:positionH relativeFrom="page">
                  <wp:posOffset>914704</wp:posOffset>
                </wp:positionH>
                <wp:positionV relativeFrom="paragraph">
                  <wp:posOffset>266264</wp:posOffset>
                </wp:positionV>
                <wp:extent cx="1829435"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965673pt;width:144.020pt;height:.72003pt;mso-position-horizontal-relative:page;mso-position-vertical-relative:paragraph;z-index:-15728128;mso-wrap-distance-left:0;mso-wrap-distance-right:0" id="docshape3" filled="true" fillcolor="#000000" stroked="false">
                <v:fill type="solid"/>
                <w10:wrap type="topAndBottom"/>
              </v:rect>
            </w:pict>
          </mc:Fallback>
        </mc:AlternateContent>
      </w:r>
    </w:p>
    <w:p>
      <w:pPr>
        <w:spacing w:before="98"/>
        <w:ind w:left="360" w:right="716" w:firstLine="0"/>
        <w:jc w:val="both"/>
        <w:rPr>
          <w:i/>
          <w:sz w:val="18"/>
        </w:rPr>
      </w:pPr>
      <w:r>
        <w:rPr>
          <w:i/>
          <w:sz w:val="18"/>
        </w:rPr>
        <w:t>Републички завод за статистику, Развојна агенција Србије, Унија послодаваца Србије, Савез самосталних синдиката Србије, Уједињени грански синдикат Независност, Стална конференција градова и општина, Тим за социјално укључивање и смањење сиромаштва, Немачка организација за међународну сарадњу, Међународна организација рада, Београдска отворена школа и Центар за омладински рад</w:t>
      </w:r>
    </w:p>
    <w:p>
      <w:pPr>
        <w:spacing w:after="0"/>
        <w:jc w:val="both"/>
        <w:rPr>
          <w:i/>
          <w:sz w:val="18"/>
        </w:rPr>
        <w:sectPr>
          <w:pgSz w:w="12240" w:h="15840"/>
          <w:pgMar w:header="0" w:footer="702" w:top="1360" w:bottom="900" w:left="1080" w:right="720"/>
        </w:sectPr>
      </w:pPr>
    </w:p>
    <w:p>
      <w:pPr>
        <w:pStyle w:val="BodyText"/>
        <w:spacing w:before="72"/>
        <w:ind w:right="713"/>
      </w:pPr>
      <w:r>
        <w:rPr/>
        <w:t>националне</w:t>
      </w:r>
      <w:r>
        <w:rPr>
          <w:spacing w:val="-7"/>
        </w:rPr>
        <w:t> </w:t>
      </w:r>
      <w:r>
        <w:rPr/>
        <w:t>економије,</w:t>
      </w:r>
      <w:r>
        <w:rPr>
          <w:spacing w:val="-8"/>
        </w:rPr>
        <w:t> </w:t>
      </w:r>
      <w:r>
        <w:rPr/>
        <w:t>јачању</w:t>
      </w:r>
      <w:r>
        <w:rPr>
          <w:spacing w:val="-10"/>
        </w:rPr>
        <w:t> </w:t>
      </w:r>
      <w:r>
        <w:rPr/>
        <w:t>приврeдног</w:t>
      </w:r>
      <w:r>
        <w:rPr>
          <w:spacing w:val="-6"/>
        </w:rPr>
        <w:t> </w:t>
      </w:r>
      <w:r>
        <w:rPr/>
        <w:t>рaста</w:t>
      </w:r>
      <w:r>
        <w:rPr>
          <w:spacing w:val="-6"/>
        </w:rPr>
        <w:t> </w:t>
      </w:r>
      <w:r>
        <w:rPr/>
        <w:t>и</w:t>
      </w:r>
      <w:r>
        <w:rPr>
          <w:spacing w:val="-5"/>
        </w:rPr>
        <w:t> </w:t>
      </w:r>
      <w:r>
        <w:rPr/>
        <w:t>рaзвojа,</w:t>
      </w:r>
      <w:r>
        <w:rPr>
          <w:spacing w:val="-8"/>
        </w:rPr>
        <w:t> </w:t>
      </w:r>
      <w:r>
        <w:rPr/>
        <w:t>креирању</w:t>
      </w:r>
      <w:r>
        <w:rPr>
          <w:spacing w:val="-12"/>
        </w:rPr>
        <w:t> </w:t>
      </w:r>
      <w:r>
        <w:rPr/>
        <w:t>нових</w:t>
      </w:r>
      <w:r>
        <w:rPr>
          <w:spacing w:val="-6"/>
        </w:rPr>
        <w:t> </w:t>
      </w:r>
      <w:r>
        <w:rPr/>
        <w:t>радних</w:t>
      </w:r>
      <w:r>
        <w:rPr>
          <w:spacing w:val="-6"/>
        </w:rPr>
        <w:t> </w:t>
      </w:r>
      <w:r>
        <w:rPr/>
        <w:t>места</w:t>
      </w:r>
      <w:r>
        <w:rPr>
          <w:spacing w:val="-6"/>
        </w:rPr>
        <w:t> </w:t>
      </w:r>
      <w:r>
        <w:rPr/>
        <w:t>и, последично, бољем животном стандарду. Израда овог документа на годишњем нивоу</w:t>
      </w:r>
      <w:r>
        <w:rPr>
          <w:spacing w:val="-4"/>
        </w:rPr>
        <w:t> </w:t>
      </w:r>
      <w:r>
        <w:rPr/>
        <w:t>је од значаја за Србију као државу у предприступном статусу, јер представља припрему за учешће у процесу економског и фискалног надзора држава чланица ЕУ, односно представља укључење у процес европског семестра координације економских политика.</w:t>
      </w:r>
    </w:p>
    <w:p>
      <w:pPr>
        <w:pStyle w:val="Heading2"/>
        <w:numPr>
          <w:ilvl w:val="1"/>
          <w:numId w:val="1"/>
        </w:numPr>
        <w:tabs>
          <w:tab w:pos="1500" w:val="left" w:leader="none"/>
        </w:tabs>
        <w:spacing w:line="240" w:lineRule="auto" w:before="125" w:after="0"/>
        <w:ind w:left="1500" w:right="0" w:hanging="420"/>
        <w:jc w:val="both"/>
      </w:pPr>
      <w:r>
        <w:rPr/>
        <w:t>Међународни</w:t>
      </w:r>
      <w:r>
        <w:rPr>
          <w:spacing w:val="-4"/>
        </w:rPr>
        <w:t> </w:t>
      </w:r>
      <w:r>
        <w:rPr/>
        <w:t>оквир</w:t>
      </w:r>
      <w:r>
        <w:rPr>
          <w:spacing w:val="-2"/>
        </w:rPr>
        <w:t> </w:t>
      </w:r>
      <w:r>
        <w:rPr/>
        <w:t>за</w:t>
      </w:r>
      <w:r>
        <w:rPr>
          <w:spacing w:val="-4"/>
        </w:rPr>
        <w:t> </w:t>
      </w:r>
      <w:r>
        <w:rPr/>
        <w:t>политику</w:t>
      </w:r>
      <w:r>
        <w:rPr>
          <w:spacing w:val="-3"/>
        </w:rPr>
        <w:t> </w:t>
      </w:r>
      <w:r>
        <w:rPr>
          <w:spacing w:val="-2"/>
        </w:rPr>
        <w:t>запошљавања</w:t>
      </w:r>
    </w:p>
    <w:p>
      <w:pPr>
        <w:pStyle w:val="Heading3"/>
        <w:spacing w:line="274" w:lineRule="exact" w:before="252"/>
      </w:pPr>
      <w:r>
        <w:rPr/>
        <w:t>Систем</w:t>
      </w:r>
      <w:r>
        <w:rPr>
          <w:spacing w:val="-5"/>
        </w:rPr>
        <w:t> </w:t>
      </w:r>
      <w:r>
        <w:rPr/>
        <w:t>Уједињених</w:t>
      </w:r>
      <w:r>
        <w:rPr>
          <w:spacing w:val="-4"/>
        </w:rPr>
        <w:t> </w:t>
      </w:r>
      <w:r>
        <w:rPr>
          <w:spacing w:val="-2"/>
        </w:rPr>
        <w:t>нација</w:t>
      </w:r>
    </w:p>
    <w:p>
      <w:pPr>
        <w:pStyle w:val="BodyText"/>
        <w:spacing w:line="274" w:lineRule="exact"/>
        <w:ind w:left="1080"/>
      </w:pPr>
      <w:r>
        <w:rPr>
          <w:spacing w:val="-2"/>
        </w:rPr>
        <w:t>Организација Уједињених</w:t>
      </w:r>
      <w:r>
        <w:rPr>
          <w:spacing w:val="1"/>
        </w:rPr>
        <w:t> </w:t>
      </w:r>
      <w:r>
        <w:rPr>
          <w:spacing w:val="-2"/>
        </w:rPr>
        <w:t>нација</w:t>
      </w:r>
      <w:r>
        <w:rPr>
          <w:spacing w:val="-1"/>
        </w:rPr>
        <w:t> </w:t>
      </w:r>
      <w:r>
        <w:rPr>
          <w:spacing w:val="-2"/>
        </w:rPr>
        <w:t>је</w:t>
      </w:r>
      <w:r>
        <w:rPr>
          <w:spacing w:val="-1"/>
        </w:rPr>
        <w:t> </w:t>
      </w:r>
      <w:r>
        <w:rPr>
          <w:spacing w:val="-2"/>
        </w:rPr>
        <w:t>међународна</w:t>
      </w:r>
      <w:r>
        <w:rPr>
          <w:spacing w:val="-1"/>
        </w:rPr>
        <w:t> </w:t>
      </w:r>
      <w:r>
        <w:rPr>
          <w:spacing w:val="-2"/>
        </w:rPr>
        <w:t>организација</w:t>
      </w:r>
      <w:r>
        <w:rPr>
          <w:spacing w:val="-1"/>
        </w:rPr>
        <w:t> </w:t>
      </w:r>
      <w:r>
        <w:rPr>
          <w:spacing w:val="-2"/>
        </w:rPr>
        <w:t>која</w:t>
      </w:r>
      <w:r>
        <w:rPr>
          <w:spacing w:val="-1"/>
        </w:rPr>
        <w:t> </w:t>
      </w:r>
      <w:r>
        <w:rPr>
          <w:spacing w:val="-2"/>
        </w:rPr>
        <w:t>се</w:t>
      </w:r>
      <w:r>
        <w:rPr>
          <w:spacing w:val="-1"/>
        </w:rPr>
        <w:t> </w:t>
      </w:r>
      <w:r>
        <w:rPr>
          <w:spacing w:val="-2"/>
        </w:rPr>
        <w:t>декларише</w:t>
      </w:r>
      <w:r>
        <w:rPr>
          <w:spacing w:val="-1"/>
        </w:rPr>
        <w:t> </w:t>
      </w:r>
      <w:r>
        <w:rPr>
          <w:spacing w:val="-5"/>
        </w:rPr>
        <w:t>као</w:t>
      </w:r>
    </w:p>
    <w:p>
      <w:pPr>
        <w:spacing w:before="0"/>
        <w:ind w:left="360" w:right="716" w:firstLine="0"/>
        <w:jc w:val="both"/>
        <w:rPr>
          <w:sz w:val="24"/>
        </w:rPr>
      </w:pPr>
      <w:r>
        <w:rPr>
          <w:i/>
          <w:sz w:val="24"/>
        </w:rPr>
        <w:t>„глобално удружење влада које сарађују на пољу међународног права, глобалне безбедности, економског развоја и социјалне једнакостиˮ</w:t>
      </w:r>
      <w:r>
        <w:rPr>
          <w:sz w:val="24"/>
        </w:rPr>
        <w:t>. Иако је остваривање циљева утврђених</w:t>
      </w:r>
      <w:r>
        <w:rPr>
          <w:spacing w:val="-4"/>
          <w:sz w:val="24"/>
        </w:rPr>
        <w:t> </w:t>
      </w:r>
      <w:r>
        <w:rPr>
          <w:sz w:val="24"/>
        </w:rPr>
        <w:t>Повељом</w:t>
      </w:r>
      <w:r>
        <w:rPr>
          <w:spacing w:val="-7"/>
          <w:sz w:val="24"/>
        </w:rPr>
        <w:t> </w:t>
      </w:r>
      <w:r>
        <w:rPr>
          <w:sz w:val="24"/>
        </w:rPr>
        <w:t>Уједињених</w:t>
      </w:r>
      <w:r>
        <w:rPr>
          <w:spacing w:val="-6"/>
          <w:sz w:val="24"/>
        </w:rPr>
        <w:t> </w:t>
      </w:r>
      <w:r>
        <w:rPr>
          <w:sz w:val="24"/>
        </w:rPr>
        <w:t>нација,</w:t>
      </w:r>
      <w:r>
        <w:rPr>
          <w:spacing w:val="-6"/>
          <w:sz w:val="24"/>
        </w:rPr>
        <w:t> </w:t>
      </w:r>
      <w:r>
        <w:rPr>
          <w:sz w:val="24"/>
        </w:rPr>
        <w:t>а</w:t>
      </w:r>
      <w:r>
        <w:rPr>
          <w:spacing w:val="-7"/>
          <w:sz w:val="24"/>
        </w:rPr>
        <w:t> </w:t>
      </w:r>
      <w:r>
        <w:rPr>
          <w:sz w:val="24"/>
        </w:rPr>
        <w:t>који</w:t>
      </w:r>
      <w:r>
        <w:rPr>
          <w:spacing w:val="-7"/>
          <w:sz w:val="24"/>
        </w:rPr>
        <w:t> </w:t>
      </w:r>
      <w:r>
        <w:rPr>
          <w:sz w:val="24"/>
        </w:rPr>
        <w:t>се</w:t>
      </w:r>
      <w:r>
        <w:rPr>
          <w:spacing w:val="-7"/>
          <w:sz w:val="24"/>
        </w:rPr>
        <w:t> </w:t>
      </w:r>
      <w:r>
        <w:rPr>
          <w:sz w:val="24"/>
        </w:rPr>
        <w:t>односе</w:t>
      </w:r>
      <w:r>
        <w:rPr>
          <w:spacing w:val="-7"/>
          <w:sz w:val="24"/>
        </w:rPr>
        <w:t> </w:t>
      </w:r>
      <w:r>
        <w:rPr>
          <w:sz w:val="24"/>
        </w:rPr>
        <w:t>на</w:t>
      </w:r>
      <w:r>
        <w:rPr>
          <w:spacing w:val="-7"/>
          <w:sz w:val="24"/>
        </w:rPr>
        <w:t> </w:t>
      </w:r>
      <w:r>
        <w:rPr>
          <w:sz w:val="24"/>
        </w:rPr>
        <w:t>одржање</w:t>
      </w:r>
      <w:r>
        <w:rPr>
          <w:spacing w:val="-4"/>
          <w:sz w:val="24"/>
        </w:rPr>
        <w:t> </w:t>
      </w:r>
      <w:r>
        <w:rPr>
          <w:sz w:val="24"/>
        </w:rPr>
        <w:t>међународног</w:t>
      </w:r>
      <w:r>
        <w:rPr>
          <w:spacing w:val="-6"/>
          <w:sz w:val="24"/>
        </w:rPr>
        <w:t> </w:t>
      </w:r>
      <w:r>
        <w:rPr>
          <w:sz w:val="24"/>
        </w:rPr>
        <w:t>мира</w:t>
      </w:r>
      <w:r>
        <w:rPr>
          <w:spacing w:val="-7"/>
          <w:sz w:val="24"/>
        </w:rPr>
        <w:t> </w:t>
      </w:r>
      <w:r>
        <w:rPr>
          <w:sz w:val="24"/>
        </w:rPr>
        <w:t>и сигурности, развијање пријатељских односа на темељу поштовања равноправности и самоодређења народа, као и сарадњу у решавању економских, социјалних, културних и хуманитарних тешкоћа, подржано низом докумената, у наставку је дат кратак осврт на документа која су од кључног значаја за уређење политике запошљавања у складу са универзално прихваћеним УН постулатима.</w:t>
      </w:r>
    </w:p>
    <w:p>
      <w:pPr>
        <w:pStyle w:val="BodyText"/>
        <w:spacing w:before="1"/>
        <w:ind w:left="0"/>
        <w:jc w:val="left"/>
      </w:pPr>
    </w:p>
    <w:p>
      <w:pPr>
        <w:spacing w:before="0"/>
        <w:ind w:left="360" w:right="718" w:firstLine="719"/>
        <w:jc w:val="both"/>
        <w:rPr>
          <w:sz w:val="24"/>
        </w:rPr>
      </w:pPr>
      <w:r>
        <w:rPr>
          <w:b/>
          <w:sz w:val="24"/>
        </w:rPr>
        <w:t>Међународни пакт о економским, социјалним и културним правима </w:t>
      </w:r>
      <w:r>
        <w:rPr>
          <w:sz w:val="24"/>
        </w:rPr>
        <w:t>гарантује право на рад и садржи широк опсег права у вези са радом.</w:t>
      </w:r>
      <w:r>
        <w:rPr>
          <w:spacing w:val="40"/>
          <w:sz w:val="24"/>
        </w:rPr>
        <w:t> </w:t>
      </w:r>
      <w:r>
        <w:rPr>
          <w:sz w:val="24"/>
        </w:rPr>
        <w:t>Право на рад (које се посматра кроз</w:t>
      </w:r>
      <w:r>
        <w:rPr>
          <w:spacing w:val="-15"/>
          <w:sz w:val="24"/>
        </w:rPr>
        <w:t> </w:t>
      </w:r>
      <w:r>
        <w:rPr>
          <w:sz w:val="24"/>
        </w:rPr>
        <w:t>приступ</w:t>
      </w:r>
      <w:r>
        <w:rPr>
          <w:spacing w:val="-15"/>
          <w:sz w:val="24"/>
        </w:rPr>
        <w:t> </w:t>
      </w:r>
      <w:r>
        <w:rPr>
          <w:sz w:val="24"/>
        </w:rPr>
        <w:t>праву</w:t>
      </w:r>
      <w:r>
        <w:rPr>
          <w:spacing w:val="-15"/>
          <w:sz w:val="24"/>
        </w:rPr>
        <w:t> </w:t>
      </w:r>
      <w:r>
        <w:rPr>
          <w:sz w:val="24"/>
        </w:rPr>
        <w:t>на</w:t>
      </w:r>
      <w:r>
        <w:rPr>
          <w:spacing w:val="-15"/>
          <w:sz w:val="24"/>
        </w:rPr>
        <w:t> </w:t>
      </w:r>
      <w:r>
        <w:rPr>
          <w:sz w:val="24"/>
        </w:rPr>
        <w:t>рад,</w:t>
      </w:r>
      <w:r>
        <w:rPr>
          <w:spacing w:val="-15"/>
          <w:sz w:val="24"/>
        </w:rPr>
        <w:t> </w:t>
      </w:r>
      <w:r>
        <w:rPr>
          <w:sz w:val="24"/>
        </w:rPr>
        <w:t>слободан</w:t>
      </w:r>
      <w:r>
        <w:rPr>
          <w:spacing w:val="-12"/>
          <w:sz w:val="24"/>
        </w:rPr>
        <w:t> </w:t>
      </w:r>
      <w:r>
        <w:rPr>
          <w:sz w:val="24"/>
        </w:rPr>
        <w:t>избор</w:t>
      </w:r>
      <w:r>
        <w:rPr>
          <w:spacing w:val="-15"/>
          <w:sz w:val="24"/>
        </w:rPr>
        <w:t> </w:t>
      </w:r>
      <w:r>
        <w:rPr>
          <w:sz w:val="24"/>
        </w:rPr>
        <w:t>занимања</w:t>
      </w:r>
      <w:r>
        <w:rPr>
          <w:spacing w:val="-14"/>
          <w:sz w:val="24"/>
        </w:rPr>
        <w:t> </w:t>
      </w:r>
      <w:r>
        <w:rPr>
          <w:sz w:val="24"/>
        </w:rPr>
        <w:t>и</w:t>
      </w:r>
      <w:r>
        <w:rPr>
          <w:spacing w:val="-12"/>
          <w:sz w:val="24"/>
        </w:rPr>
        <w:t> </w:t>
      </w:r>
      <w:r>
        <w:rPr>
          <w:sz w:val="24"/>
        </w:rPr>
        <w:t>заштиту</w:t>
      </w:r>
      <w:r>
        <w:rPr>
          <w:spacing w:val="-15"/>
          <w:sz w:val="24"/>
        </w:rPr>
        <w:t> </w:t>
      </w:r>
      <w:r>
        <w:rPr>
          <w:sz w:val="24"/>
        </w:rPr>
        <w:t>од</w:t>
      </w:r>
      <w:r>
        <w:rPr>
          <w:spacing w:val="-13"/>
          <w:sz w:val="24"/>
        </w:rPr>
        <w:t> </w:t>
      </w:r>
      <w:r>
        <w:rPr>
          <w:sz w:val="24"/>
        </w:rPr>
        <w:t>неоснованог</w:t>
      </w:r>
      <w:r>
        <w:rPr>
          <w:spacing w:val="-13"/>
          <w:sz w:val="24"/>
        </w:rPr>
        <w:t> </w:t>
      </w:r>
      <w:r>
        <w:rPr>
          <w:sz w:val="24"/>
        </w:rPr>
        <w:t>отпуштања) омогућава економску независност појединца и пун развој и остварење његове личности и подразумева</w:t>
      </w:r>
      <w:r>
        <w:rPr>
          <w:spacing w:val="-6"/>
          <w:sz w:val="24"/>
        </w:rPr>
        <w:t> </w:t>
      </w:r>
      <w:r>
        <w:rPr>
          <w:i/>
          <w:sz w:val="24"/>
        </w:rPr>
        <w:t>„право</w:t>
      </w:r>
      <w:r>
        <w:rPr>
          <w:i/>
          <w:spacing w:val="-4"/>
          <w:sz w:val="24"/>
        </w:rPr>
        <w:t> </w:t>
      </w:r>
      <w:r>
        <w:rPr>
          <w:i/>
          <w:sz w:val="24"/>
        </w:rPr>
        <w:t>сваког</w:t>
      </w:r>
      <w:r>
        <w:rPr>
          <w:i/>
          <w:spacing w:val="-5"/>
          <w:sz w:val="24"/>
        </w:rPr>
        <w:t> </w:t>
      </w:r>
      <w:r>
        <w:rPr>
          <w:i/>
          <w:sz w:val="24"/>
        </w:rPr>
        <w:t>лица</w:t>
      </w:r>
      <w:r>
        <w:rPr>
          <w:i/>
          <w:spacing w:val="-6"/>
          <w:sz w:val="24"/>
        </w:rPr>
        <w:t> </w:t>
      </w:r>
      <w:r>
        <w:rPr>
          <w:i/>
          <w:sz w:val="24"/>
        </w:rPr>
        <w:t>да</w:t>
      </w:r>
      <w:r>
        <w:rPr>
          <w:i/>
          <w:spacing w:val="-6"/>
          <w:sz w:val="24"/>
        </w:rPr>
        <w:t> </w:t>
      </w:r>
      <w:r>
        <w:rPr>
          <w:i/>
          <w:sz w:val="24"/>
        </w:rPr>
        <w:t>добије</w:t>
      </w:r>
      <w:r>
        <w:rPr>
          <w:i/>
          <w:spacing w:val="-6"/>
          <w:sz w:val="24"/>
        </w:rPr>
        <w:t> </w:t>
      </w:r>
      <w:r>
        <w:rPr>
          <w:i/>
          <w:sz w:val="24"/>
        </w:rPr>
        <w:t>могућност</w:t>
      </w:r>
      <w:r>
        <w:rPr>
          <w:i/>
          <w:spacing w:val="-6"/>
          <w:sz w:val="24"/>
        </w:rPr>
        <w:t> </w:t>
      </w:r>
      <w:r>
        <w:rPr>
          <w:i/>
          <w:sz w:val="24"/>
        </w:rPr>
        <w:t>да</w:t>
      </w:r>
      <w:r>
        <w:rPr>
          <w:i/>
          <w:spacing w:val="-6"/>
          <w:sz w:val="24"/>
        </w:rPr>
        <w:t> </w:t>
      </w:r>
      <w:r>
        <w:rPr>
          <w:i/>
          <w:sz w:val="24"/>
        </w:rPr>
        <w:t>обезбеди</w:t>
      </w:r>
      <w:r>
        <w:rPr>
          <w:i/>
          <w:spacing w:val="-3"/>
          <w:sz w:val="24"/>
        </w:rPr>
        <w:t> </w:t>
      </w:r>
      <w:r>
        <w:rPr>
          <w:i/>
          <w:sz w:val="24"/>
        </w:rPr>
        <w:t>себи</w:t>
      </w:r>
      <w:r>
        <w:rPr>
          <w:i/>
          <w:spacing w:val="-4"/>
          <w:sz w:val="24"/>
        </w:rPr>
        <w:t> </w:t>
      </w:r>
      <w:r>
        <w:rPr>
          <w:i/>
          <w:sz w:val="24"/>
        </w:rPr>
        <w:t>средства</w:t>
      </w:r>
      <w:r>
        <w:rPr>
          <w:i/>
          <w:spacing w:val="-6"/>
          <w:sz w:val="24"/>
        </w:rPr>
        <w:t> </w:t>
      </w:r>
      <w:r>
        <w:rPr>
          <w:i/>
          <w:sz w:val="24"/>
        </w:rPr>
        <w:t>за</w:t>
      </w:r>
      <w:r>
        <w:rPr>
          <w:i/>
          <w:spacing w:val="-4"/>
          <w:sz w:val="24"/>
        </w:rPr>
        <w:t> </w:t>
      </w:r>
      <w:r>
        <w:rPr>
          <w:i/>
          <w:sz w:val="24"/>
        </w:rPr>
        <w:t>живот слободно</w:t>
      </w:r>
      <w:r>
        <w:rPr>
          <w:i/>
          <w:spacing w:val="-2"/>
          <w:sz w:val="24"/>
        </w:rPr>
        <w:t> </w:t>
      </w:r>
      <w:r>
        <w:rPr>
          <w:i/>
          <w:sz w:val="24"/>
        </w:rPr>
        <w:t>изабраним</w:t>
      </w:r>
      <w:r>
        <w:rPr>
          <w:i/>
          <w:spacing w:val="-1"/>
          <w:sz w:val="24"/>
        </w:rPr>
        <w:t> </w:t>
      </w:r>
      <w:r>
        <w:rPr>
          <w:i/>
          <w:sz w:val="24"/>
        </w:rPr>
        <w:t>или</w:t>
      </w:r>
      <w:r>
        <w:rPr>
          <w:i/>
          <w:spacing w:val="-2"/>
          <w:sz w:val="24"/>
        </w:rPr>
        <w:t> </w:t>
      </w:r>
      <w:r>
        <w:rPr>
          <w:i/>
          <w:sz w:val="24"/>
        </w:rPr>
        <w:t>прихваћеним</w:t>
      </w:r>
      <w:r>
        <w:rPr>
          <w:i/>
          <w:spacing w:val="-2"/>
          <w:sz w:val="24"/>
        </w:rPr>
        <w:t> </w:t>
      </w:r>
      <w:r>
        <w:rPr>
          <w:i/>
          <w:sz w:val="24"/>
        </w:rPr>
        <w:t>радом”</w:t>
      </w:r>
      <w:r>
        <w:rPr>
          <w:sz w:val="24"/>
        </w:rPr>
        <w:t>,</w:t>
      </w:r>
      <w:r>
        <w:rPr>
          <w:spacing w:val="-4"/>
          <w:sz w:val="24"/>
        </w:rPr>
        <w:t> </w:t>
      </w:r>
      <w:r>
        <w:rPr>
          <w:sz w:val="24"/>
        </w:rPr>
        <w:t>као</w:t>
      </w:r>
      <w:r>
        <w:rPr>
          <w:spacing w:val="-2"/>
          <w:sz w:val="24"/>
        </w:rPr>
        <w:t> </w:t>
      </w:r>
      <w:r>
        <w:rPr>
          <w:sz w:val="24"/>
        </w:rPr>
        <w:t>и</w:t>
      </w:r>
      <w:r>
        <w:rPr>
          <w:spacing w:val="-1"/>
          <w:sz w:val="24"/>
        </w:rPr>
        <w:t> </w:t>
      </w:r>
      <w:r>
        <w:rPr>
          <w:sz w:val="24"/>
        </w:rPr>
        <w:t>да</w:t>
      </w:r>
      <w:r>
        <w:rPr>
          <w:spacing w:val="-3"/>
          <w:sz w:val="24"/>
        </w:rPr>
        <w:t> </w:t>
      </w:r>
      <w:r>
        <w:rPr>
          <w:sz w:val="24"/>
        </w:rPr>
        <w:t>ће</w:t>
      </w:r>
      <w:r>
        <w:rPr>
          <w:spacing w:val="-3"/>
          <w:sz w:val="24"/>
        </w:rPr>
        <w:t> </w:t>
      </w:r>
      <w:r>
        <w:rPr>
          <w:sz w:val="24"/>
        </w:rPr>
        <w:t>државе</w:t>
      </w:r>
      <w:r>
        <w:rPr>
          <w:spacing w:val="-2"/>
          <w:sz w:val="24"/>
        </w:rPr>
        <w:t> </w:t>
      </w:r>
      <w:r>
        <w:rPr>
          <w:i/>
          <w:sz w:val="24"/>
        </w:rPr>
        <w:t>„предузети</w:t>
      </w:r>
      <w:r>
        <w:rPr>
          <w:i/>
          <w:spacing w:val="-3"/>
          <w:sz w:val="24"/>
        </w:rPr>
        <w:t> </w:t>
      </w:r>
      <w:r>
        <w:rPr>
          <w:i/>
          <w:sz w:val="24"/>
        </w:rPr>
        <w:t>одговарајуће мере за заштиту овог права”</w:t>
      </w:r>
      <w:r>
        <w:rPr>
          <w:sz w:val="24"/>
        </w:rPr>
        <w:t>.</w:t>
      </w:r>
    </w:p>
    <w:p>
      <w:pPr>
        <w:pStyle w:val="BodyText"/>
        <w:ind w:right="716" w:firstLine="719"/>
      </w:pPr>
      <w:r>
        <w:rPr/>
        <w:t>Међутим, право</w:t>
      </w:r>
      <w:r>
        <w:rPr>
          <w:spacing w:val="-2"/>
        </w:rPr>
        <w:t> </w:t>
      </w:r>
      <w:r>
        <w:rPr/>
        <w:t>на</w:t>
      </w:r>
      <w:r>
        <w:rPr>
          <w:spacing w:val="-3"/>
        </w:rPr>
        <w:t> </w:t>
      </w:r>
      <w:r>
        <w:rPr/>
        <w:t>рад не</w:t>
      </w:r>
      <w:r>
        <w:rPr>
          <w:spacing w:val="-3"/>
        </w:rPr>
        <w:t> </w:t>
      </w:r>
      <w:r>
        <w:rPr/>
        <w:t>значи</w:t>
      </w:r>
      <w:r>
        <w:rPr>
          <w:spacing w:val="-2"/>
        </w:rPr>
        <w:t> </w:t>
      </w:r>
      <w:r>
        <w:rPr/>
        <w:t>да</w:t>
      </w:r>
      <w:r>
        <w:rPr>
          <w:spacing w:val="-3"/>
        </w:rPr>
        <w:t> </w:t>
      </w:r>
      <w:r>
        <w:rPr/>
        <w:t>свако</w:t>
      </w:r>
      <w:r>
        <w:rPr>
          <w:spacing w:val="-2"/>
        </w:rPr>
        <w:t> </w:t>
      </w:r>
      <w:r>
        <w:rPr/>
        <w:t>лице</w:t>
      </w:r>
      <w:r>
        <w:rPr>
          <w:spacing w:val="-3"/>
        </w:rPr>
        <w:t> </w:t>
      </w:r>
      <w:r>
        <w:rPr/>
        <w:t>има</w:t>
      </w:r>
      <w:r>
        <w:rPr>
          <w:spacing w:val="-3"/>
        </w:rPr>
        <w:t> </w:t>
      </w:r>
      <w:r>
        <w:rPr/>
        <w:t>гарантовано</w:t>
      </w:r>
      <w:r>
        <w:rPr>
          <w:spacing w:val="-2"/>
        </w:rPr>
        <w:t> </w:t>
      </w:r>
      <w:r>
        <w:rPr/>
        <w:t>право на</w:t>
      </w:r>
      <w:r>
        <w:rPr>
          <w:spacing w:val="-3"/>
        </w:rPr>
        <w:t> </w:t>
      </w:r>
      <w:r>
        <w:rPr/>
        <w:t>запослење, већ на могућност да обезбеди средства за живот радом који је слободно изабрао. Отуда, обавеза држава није постизање пуне запослености, већ вођење политике и стварање услова/окружења за постизање исте (уз поштовање свих принципа достојанственог рада). То практично значи да државе потписнице овог пакта нису у обавези да обезбеде пуну запосленост и посао за све, већ да предузму неопходне мере за смањење незапослености, док остваривање пуне запослености треба да буде циљ њихове политике.</w:t>
      </w:r>
    </w:p>
    <w:p>
      <w:pPr>
        <w:pStyle w:val="BodyText"/>
        <w:spacing w:before="1"/>
        <w:ind w:left="0"/>
        <w:jc w:val="left"/>
      </w:pPr>
    </w:p>
    <w:p>
      <w:pPr>
        <w:spacing w:before="0"/>
        <w:ind w:left="360" w:right="716" w:firstLine="719"/>
        <w:jc w:val="both"/>
        <w:rPr>
          <w:sz w:val="24"/>
        </w:rPr>
      </w:pPr>
      <w:r>
        <w:rPr>
          <w:b/>
          <w:sz w:val="24"/>
        </w:rPr>
        <w:t>Агенда о спровођењу Циљева одрживог развоја до 2030</w:t>
      </w:r>
      <w:r>
        <w:rPr>
          <w:sz w:val="24"/>
          <w:vertAlign w:val="superscript"/>
        </w:rPr>
        <w:t>2</w:t>
      </w:r>
      <w:r>
        <w:rPr>
          <w:sz w:val="24"/>
          <w:vertAlign w:val="baseline"/>
        </w:rPr>
        <w:t> је универзална стратегија која укључује три димензије одрживог развоја - економски раст, социјалну инклузију и заштиту животне средине. Од држава потписница (међу којима је и Србија), очекује се да кроз холистички и међусекторски приступ мобилишу све ресурсе ради остваривања 17 циљева одрживог развоја (ЦОР), до 2030. године. Политика запошљавања препозната је и</w:t>
      </w:r>
      <w:r>
        <w:rPr>
          <w:spacing w:val="-1"/>
          <w:sz w:val="24"/>
          <w:vertAlign w:val="baseline"/>
        </w:rPr>
        <w:t> </w:t>
      </w:r>
      <w:r>
        <w:rPr>
          <w:sz w:val="24"/>
          <w:vertAlign w:val="baseline"/>
        </w:rPr>
        <w:t>доприноси остваривању</w:t>
      </w:r>
      <w:r>
        <w:rPr>
          <w:spacing w:val="-1"/>
          <w:sz w:val="24"/>
          <w:vertAlign w:val="baseline"/>
        </w:rPr>
        <w:t> </w:t>
      </w:r>
      <w:r>
        <w:rPr>
          <w:sz w:val="24"/>
          <w:vertAlign w:val="baseline"/>
        </w:rPr>
        <w:t>ЦОР 8. </w:t>
      </w:r>
      <w:r>
        <w:rPr>
          <w:i/>
          <w:sz w:val="24"/>
          <w:vertAlign w:val="baseline"/>
        </w:rPr>
        <w:t>Промовисати континуирани, инклузиван и одржив економски раст, пуну и продуктивну запосленост и достојанствени рад за све</w:t>
      </w:r>
      <w:r>
        <w:rPr>
          <w:sz w:val="24"/>
          <w:vertAlign w:val="baseline"/>
        </w:rPr>
        <w:t>.</w:t>
      </w:r>
    </w:p>
    <w:p>
      <w:pPr>
        <w:pStyle w:val="BodyText"/>
        <w:spacing w:before="5"/>
        <w:ind w:left="0"/>
        <w:jc w:val="left"/>
      </w:pPr>
    </w:p>
    <w:p>
      <w:pPr>
        <w:pStyle w:val="Heading3"/>
        <w:spacing w:line="274" w:lineRule="exact"/>
      </w:pPr>
      <w:r>
        <w:rPr/>
        <w:t>Ратификоване</w:t>
      </w:r>
      <w:r>
        <w:rPr>
          <w:spacing w:val="-9"/>
        </w:rPr>
        <w:t> </w:t>
      </w:r>
      <w:r>
        <w:rPr/>
        <w:t>конвенције</w:t>
      </w:r>
      <w:r>
        <w:rPr>
          <w:spacing w:val="-5"/>
        </w:rPr>
        <w:t> </w:t>
      </w:r>
      <w:r>
        <w:rPr/>
        <w:t>Међународне</w:t>
      </w:r>
      <w:r>
        <w:rPr>
          <w:spacing w:val="-4"/>
        </w:rPr>
        <w:t> </w:t>
      </w:r>
      <w:r>
        <w:rPr/>
        <w:t>организације</w:t>
      </w:r>
      <w:r>
        <w:rPr>
          <w:spacing w:val="-5"/>
        </w:rPr>
        <w:t> </w:t>
      </w:r>
      <w:r>
        <w:rPr>
          <w:spacing w:val="-4"/>
        </w:rPr>
        <w:t>рада</w:t>
      </w:r>
    </w:p>
    <w:p>
      <w:pPr>
        <w:pStyle w:val="BodyText"/>
        <w:ind w:right="714" w:firstLine="719"/>
      </w:pPr>
      <w:r>
        <w:rPr/>
        <w:t>Међународна организација рада представља (MOР) примарни субјект у креирању међународног</w:t>
      </w:r>
      <w:r>
        <w:rPr>
          <w:spacing w:val="40"/>
        </w:rPr>
        <w:t> </w:t>
      </w:r>
      <w:r>
        <w:rPr/>
        <w:t>радног</w:t>
      </w:r>
      <w:r>
        <w:rPr>
          <w:spacing w:val="40"/>
        </w:rPr>
        <w:t> </w:t>
      </w:r>
      <w:r>
        <w:rPr/>
        <w:t>законодавства.</w:t>
      </w:r>
      <w:r>
        <w:rPr>
          <w:spacing w:val="40"/>
        </w:rPr>
        <w:t> </w:t>
      </w:r>
      <w:r>
        <w:rPr/>
        <w:t>Међународни</w:t>
      </w:r>
      <w:r>
        <w:rPr>
          <w:spacing w:val="40"/>
        </w:rPr>
        <w:t> </w:t>
      </w:r>
      <w:r>
        <w:rPr/>
        <w:t>стандарди</w:t>
      </w:r>
      <w:r>
        <w:rPr>
          <w:spacing w:val="40"/>
        </w:rPr>
        <w:t> </w:t>
      </w:r>
      <w:r>
        <w:rPr/>
        <w:t>рада,</w:t>
      </w:r>
      <w:r>
        <w:rPr>
          <w:spacing w:val="40"/>
        </w:rPr>
        <w:t> </w:t>
      </w:r>
      <w:r>
        <w:rPr/>
        <w:t>доносе</w:t>
      </w:r>
      <w:r>
        <w:rPr>
          <w:spacing w:val="40"/>
        </w:rPr>
        <w:t> </w:t>
      </w:r>
      <w:r>
        <w:rPr/>
        <w:t>се</w:t>
      </w:r>
      <w:r>
        <w:rPr>
          <w:spacing w:val="40"/>
        </w:rPr>
        <w:t> </w:t>
      </w:r>
      <w:r>
        <w:rPr/>
        <w:t>у</w:t>
      </w:r>
      <w:r>
        <w:rPr>
          <w:spacing w:val="40"/>
        </w:rPr>
        <w:t> </w:t>
      </w:r>
      <w:r>
        <w:rPr/>
        <w:t>форми</w:t>
      </w:r>
    </w:p>
    <w:p>
      <w:pPr>
        <w:pStyle w:val="BodyText"/>
        <w:spacing w:before="11"/>
        <w:ind w:left="0"/>
        <w:jc w:val="left"/>
        <w:rPr>
          <w:sz w:val="14"/>
        </w:rPr>
      </w:pPr>
      <w:r>
        <w:rPr>
          <w:sz w:val="14"/>
        </w:rPr>
        <mc:AlternateContent>
          <mc:Choice Requires="wps">
            <w:drawing>
              <wp:anchor distT="0" distB="0" distL="0" distR="0" allowOverlap="1" layoutInCell="1" locked="0" behindDoc="1" simplePos="0" relativeHeight="487588864">
                <wp:simplePos x="0" y="0"/>
                <wp:positionH relativeFrom="page">
                  <wp:posOffset>914704</wp:posOffset>
                </wp:positionH>
                <wp:positionV relativeFrom="paragraph">
                  <wp:posOffset>124569</wp:posOffset>
                </wp:positionV>
                <wp:extent cx="1829435"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808606pt;width:144.020pt;height:.72003pt;mso-position-horizontal-relative:page;mso-position-vertical-relative:paragraph;z-index:-15727616;mso-wrap-distance-left:0;mso-wrap-distance-right:0" id="docshape4" filled="true" fillcolor="#000000" stroked="false">
                <v:fill type="solid"/>
                <w10:wrap type="topAndBottom"/>
              </v:rect>
            </w:pict>
          </mc:Fallback>
        </mc:AlternateContent>
      </w:r>
    </w:p>
    <w:p>
      <w:pPr>
        <w:spacing w:before="94"/>
        <w:ind w:left="360" w:right="713" w:firstLine="0"/>
        <w:jc w:val="left"/>
        <w:rPr>
          <w:sz w:val="18"/>
        </w:rPr>
      </w:pPr>
      <w:r>
        <w:rPr>
          <w:position w:val="6"/>
          <w:sz w:val="12"/>
        </w:rPr>
        <w:t>2</w:t>
      </w:r>
      <w:r>
        <w:rPr>
          <w:spacing w:val="13"/>
          <w:position w:val="6"/>
          <w:sz w:val="12"/>
        </w:rPr>
        <w:t> </w:t>
      </w:r>
      <w:r>
        <w:rPr>
          <w:sz w:val="18"/>
        </w:rPr>
        <w:t>Уједињене</w:t>
      </w:r>
      <w:r>
        <w:rPr>
          <w:spacing w:val="-3"/>
          <w:sz w:val="18"/>
        </w:rPr>
        <w:t> </w:t>
      </w:r>
      <w:r>
        <w:rPr>
          <w:sz w:val="18"/>
        </w:rPr>
        <w:t>нације</w:t>
      </w:r>
      <w:r>
        <w:rPr>
          <w:spacing w:val="-2"/>
          <w:sz w:val="18"/>
        </w:rPr>
        <w:t> </w:t>
      </w:r>
      <w:r>
        <w:rPr>
          <w:sz w:val="18"/>
        </w:rPr>
        <w:t>су</w:t>
      </w:r>
      <w:r>
        <w:rPr>
          <w:spacing w:val="-6"/>
          <w:sz w:val="18"/>
        </w:rPr>
        <w:t> </w:t>
      </w:r>
      <w:r>
        <w:rPr>
          <w:sz w:val="18"/>
        </w:rPr>
        <w:t>на</w:t>
      </w:r>
      <w:r>
        <w:rPr>
          <w:spacing w:val="-3"/>
          <w:sz w:val="18"/>
        </w:rPr>
        <w:t> </w:t>
      </w:r>
      <w:r>
        <w:rPr>
          <w:sz w:val="18"/>
        </w:rPr>
        <w:t>самиту</w:t>
      </w:r>
      <w:r>
        <w:rPr>
          <w:spacing w:val="-3"/>
          <w:sz w:val="18"/>
        </w:rPr>
        <w:t> </w:t>
      </w:r>
      <w:r>
        <w:rPr>
          <w:sz w:val="18"/>
        </w:rPr>
        <w:t>одржаном</w:t>
      </w:r>
      <w:r>
        <w:rPr>
          <w:spacing w:val="-3"/>
          <w:sz w:val="18"/>
        </w:rPr>
        <w:t> </w:t>
      </w:r>
      <w:r>
        <w:rPr>
          <w:sz w:val="18"/>
        </w:rPr>
        <w:t>септембра</w:t>
      </w:r>
      <w:r>
        <w:rPr>
          <w:spacing w:val="-3"/>
          <w:sz w:val="18"/>
        </w:rPr>
        <w:t> </w:t>
      </w:r>
      <w:r>
        <w:rPr>
          <w:sz w:val="18"/>
        </w:rPr>
        <w:t>2015.</w:t>
      </w:r>
      <w:r>
        <w:rPr>
          <w:spacing w:val="-4"/>
          <w:sz w:val="18"/>
        </w:rPr>
        <w:t> </w:t>
      </w:r>
      <w:r>
        <w:rPr>
          <w:sz w:val="18"/>
        </w:rPr>
        <w:t>године усвојиле</w:t>
      </w:r>
      <w:r>
        <w:rPr>
          <w:spacing w:val="-3"/>
          <w:sz w:val="18"/>
        </w:rPr>
        <w:t> </w:t>
      </w:r>
      <w:r>
        <w:rPr>
          <w:sz w:val="18"/>
        </w:rPr>
        <w:t>резолуцију</w:t>
      </w:r>
      <w:r>
        <w:rPr>
          <w:spacing w:val="-3"/>
          <w:sz w:val="18"/>
        </w:rPr>
        <w:t> </w:t>
      </w:r>
      <w:r>
        <w:rPr>
          <w:sz w:val="18"/>
        </w:rPr>
        <w:t>Transforming</w:t>
      </w:r>
      <w:r>
        <w:rPr>
          <w:spacing w:val="-3"/>
          <w:sz w:val="18"/>
        </w:rPr>
        <w:t> </w:t>
      </w:r>
      <w:r>
        <w:rPr>
          <w:sz w:val="18"/>
        </w:rPr>
        <w:t>our</w:t>
      </w:r>
      <w:r>
        <w:rPr>
          <w:spacing w:val="-2"/>
          <w:sz w:val="18"/>
        </w:rPr>
        <w:t> </w:t>
      </w:r>
      <w:r>
        <w:rPr>
          <w:sz w:val="18"/>
        </w:rPr>
        <w:t>world:</w:t>
      </w:r>
      <w:r>
        <w:rPr>
          <w:spacing w:val="-2"/>
          <w:sz w:val="18"/>
        </w:rPr>
        <w:t> </w:t>
      </w:r>
      <w:r>
        <w:rPr>
          <w:sz w:val="18"/>
        </w:rPr>
        <w:t>the</w:t>
      </w:r>
      <w:r>
        <w:rPr>
          <w:spacing w:val="-3"/>
          <w:sz w:val="18"/>
        </w:rPr>
        <w:t> </w:t>
      </w:r>
      <w:r>
        <w:rPr>
          <w:sz w:val="18"/>
        </w:rPr>
        <w:t>2030 Agenda for Sustainable Development.</w:t>
      </w:r>
    </w:p>
    <w:p>
      <w:pPr>
        <w:spacing w:after="0"/>
        <w:jc w:val="left"/>
        <w:rPr>
          <w:sz w:val="18"/>
        </w:rPr>
        <w:sectPr>
          <w:pgSz w:w="12240" w:h="15840"/>
          <w:pgMar w:header="0" w:footer="702" w:top="1360" w:bottom="900" w:left="1080" w:right="720"/>
        </w:sectPr>
      </w:pPr>
    </w:p>
    <w:p>
      <w:pPr>
        <w:pStyle w:val="BodyText"/>
        <w:spacing w:before="72"/>
        <w:ind w:right="714"/>
      </w:pPr>
      <w:r>
        <w:rPr/>
        <w:t>конвенција или препорука и регулишу</w:t>
      </w:r>
      <w:r>
        <w:rPr>
          <w:spacing w:val="-1"/>
        </w:rPr>
        <w:t> </w:t>
      </w:r>
      <w:r>
        <w:rPr/>
        <w:t>основна права радника попут слободе удруживања, права организовања, колективног преговарања, укидања принудног рада, једнакости у пружању</w:t>
      </w:r>
      <w:r>
        <w:rPr>
          <w:spacing w:val="-12"/>
        </w:rPr>
        <w:t> </w:t>
      </w:r>
      <w:r>
        <w:rPr/>
        <w:t>шанси</w:t>
      </w:r>
      <w:r>
        <w:rPr>
          <w:spacing w:val="-9"/>
        </w:rPr>
        <w:t> </w:t>
      </w:r>
      <w:r>
        <w:rPr/>
        <w:t>и</w:t>
      </w:r>
      <w:r>
        <w:rPr>
          <w:spacing w:val="-9"/>
        </w:rPr>
        <w:t> </w:t>
      </w:r>
      <w:r>
        <w:rPr/>
        <w:t>третмана,</w:t>
      </w:r>
      <w:r>
        <w:rPr>
          <w:spacing w:val="-10"/>
        </w:rPr>
        <w:t> </w:t>
      </w:r>
      <w:r>
        <w:rPr/>
        <w:t>као</w:t>
      </w:r>
      <w:r>
        <w:rPr>
          <w:spacing w:val="-10"/>
        </w:rPr>
        <w:t> </w:t>
      </w:r>
      <w:r>
        <w:rPr/>
        <w:t>и</w:t>
      </w:r>
      <w:r>
        <w:rPr>
          <w:spacing w:val="-9"/>
        </w:rPr>
        <w:t> </w:t>
      </w:r>
      <w:r>
        <w:rPr/>
        <w:t>других</w:t>
      </w:r>
      <w:r>
        <w:rPr>
          <w:spacing w:val="-8"/>
        </w:rPr>
        <w:t> </w:t>
      </w:r>
      <w:r>
        <w:rPr/>
        <w:t>стандарда</w:t>
      </w:r>
      <w:r>
        <w:rPr>
          <w:spacing w:val="-10"/>
        </w:rPr>
        <w:t> </w:t>
      </w:r>
      <w:r>
        <w:rPr/>
        <w:t>који</w:t>
      </w:r>
      <w:r>
        <w:rPr>
          <w:spacing w:val="-8"/>
        </w:rPr>
        <w:t> </w:t>
      </w:r>
      <w:r>
        <w:rPr/>
        <w:t>регулишу</w:t>
      </w:r>
      <w:r>
        <w:rPr>
          <w:spacing w:val="-10"/>
        </w:rPr>
        <w:t> </w:t>
      </w:r>
      <w:r>
        <w:rPr/>
        <w:t>услове</w:t>
      </w:r>
      <w:r>
        <w:rPr>
          <w:spacing w:val="-11"/>
        </w:rPr>
        <w:t> </w:t>
      </w:r>
      <w:r>
        <w:rPr/>
        <w:t>који</w:t>
      </w:r>
      <w:r>
        <w:rPr>
          <w:spacing w:val="-8"/>
        </w:rPr>
        <w:t> </w:t>
      </w:r>
      <w:r>
        <w:rPr/>
        <w:t>се</w:t>
      </w:r>
      <w:r>
        <w:rPr>
          <w:spacing w:val="-11"/>
        </w:rPr>
        <w:t> </w:t>
      </w:r>
      <w:r>
        <w:rPr/>
        <w:t>односе</w:t>
      </w:r>
      <w:r>
        <w:rPr>
          <w:spacing w:val="-8"/>
        </w:rPr>
        <w:t> </w:t>
      </w:r>
      <w:r>
        <w:rPr/>
        <w:t>на читав спектар питања из области радног права. Иако је Србија ратификовала значајан број конвенција, у наставку је дат кратак преглед оних којима је уређена област политике </w:t>
      </w:r>
      <w:r>
        <w:rPr>
          <w:spacing w:val="-2"/>
        </w:rPr>
        <w:t>запошљавања.</w:t>
      </w:r>
    </w:p>
    <w:p>
      <w:pPr>
        <w:pStyle w:val="BodyText"/>
        <w:ind w:left="0"/>
        <w:jc w:val="left"/>
      </w:pPr>
    </w:p>
    <w:p>
      <w:pPr>
        <w:pStyle w:val="BodyText"/>
        <w:ind w:right="716" w:firstLine="719"/>
      </w:pPr>
      <w:r>
        <w:rPr>
          <w:b/>
        </w:rPr>
        <w:t>Конвенција МОР-а број 2 </w:t>
      </w:r>
      <w:r>
        <w:rPr/>
        <w:t>- Пројект конвенције о незапослености - односи се на проблеме незапослености и предузимање мера од стране држава потписница у циљу њиховог смањења, вођење статистичких података у вези незапослености, установљавање система бесплатних јавних бироа који би се бавили овим пословима, комитета у</w:t>
      </w:r>
      <w:r>
        <w:rPr>
          <w:spacing w:val="-3"/>
        </w:rPr>
        <w:t> </w:t>
      </w:r>
      <w:r>
        <w:rPr/>
        <w:t>којима ће бити</w:t>
      </w:r>
      <w:r>
        <w:rPr>
          <w:spacing w:val="-15"/>
        </w:rPr>
        <w:t> </w:t>
      </w:r>
      <w:r>
        <w:rPr/>
        <w:t>заступљени</w:t>
      </w:r>
      <w:r>
        <w:rPr>
          <w:spacing w:val="-15"/>
        </w:rPr>
        <w:t> </w:t>
      </w:r>
      <w:r>
        <w:rPr/>
        <w:t>представници</w:t>
      </w:r>
      <w:r>
        <w:rPr>
          <w:spacing w:val="-15"/>
        </w:rPr>
        <w:t> </w:t>
      </w:r>
      <w:r>
        <w:rPr/>
        <w:t>послодаваца</w:t>
      </w:r>
      <w:r>
        <w:rPr>
          <w:spacing w:val="-15"/>
        </w:rPr>
        <w:t> </w:t>
      </w:r>
      <w:r>
        <w:rPr/>
        <w:t>и</w:t>
      </w:r>
      <w:r>
        <w:rPr>
          <w:spacing w:val="-15"/>
        </w:rPr>
        <w:t> </w:t>
      </w:r>
      <w:r>
        <w:rPr/>
        <w:t>радника</w:t>
      </w:r>
      <w:r>
        <w:rPr>
          <w:spacing w:val="-15"/>
        </w:rPr>
        <w:t> </w:t>
      </w:r>
      <w:r>
        <w:rPr/>
        <w:t>ради</w:t>
      </w:r>
      <w:r>
        <w:rPr>
          <w:spacing w:val="-15"/>
        </w:rPr>
        <w:t> </w:t>
      </w:r>
      <w:r>
        <w:rPr/>
        <w:t>решавања</w:t>
      </w:r>
      <w:r>
        <w:rPr>
          <w:spacing w:val="-15"/>
        </w:rPr>
        <w:t> </w:t>
      </w:r>
      <w:r>
        <w:rPr/>
        <w:t>појединих</w:t>
      </w:r>
      <w:r>
        <w:rPr>
          <w:spacing w:val="-15"/>
        </w:rPr>
        <w:t> </w:t>
      </w:r>
      <w:r>
        <w:rPr/>
        <w:t>проблема, омогућавање радницима да примају исте одштете по основу осигурања за случај незапослености без обзира на којој територији раде и др.</w:t>
      </w:r>
    </w:p>
    <w:p>
      <w:pPr>
        <w:pStyle w:val="BodyText"/>
        <w:spacing w:before="6"/>
        <w:ind w:left="0"/>
        <w:jc w:val="left"/>
      </w:pPr>
    </w:p>
    <w:p>
      <w:pPr>
        <w:pStyle w:val="BodyText"/>
        <w:ind w:right="711" w:firstLine="707"/>
      </w:pPr>
      <w:r>
        <w:rPr>
          <w:b/>
        </w:rPr>
        <w:t>Конвенција МОР-а број 88 о организацији службе за посредовање рада - </w:t>
      </w:r>
      <w:r>
        <w:rPr/>
        <w:t>дефинише, на свеобухватан начин, улогу, организацију и функционисање бесплатне јавне службе за посредовање рада, на географском принципу. Служба треба да води евиденцију о радницима који траже запослење, слободним радним местима, да упућује кандидате помажући им да пронађу одговарајуће запослење, усклађује понуду и потражњу на тржишту рада, омогућује мобилност радника, обезбеђује осигурање за случај незапослености и др., док је при одлучивању о раду јавне службе неопходно обезбедити заступљеност представника социјалних партнера, у једнаком броју.</w:t>
      </w:r>
    </w:p>
    <w:p>
      <w:pPr>
        <w:pStyle w:val="BodyText"/>
        <w:ind w:left="0"/>
        <w:jc w:val="left"/>
      </w:pPr>
    </w:p>
    <w:p>
      <w:pPr>
        <w:pStyle w:val="BodyText"/>
        <w:ind w:right="713" w:firstLine="707"/>
      </w:pPr>
      <w:r>
        <w:rPr>
          <w:b/>
        </w:rPr>
        <w:t>Конвенција МОР-а број 111 о дискриминацији у погледу запошљавања и занимања - д</w:t>
      </w:r>
      <w:r>
        <w:rPr/>
        <w:t>ефинише појам дискриминације и забрану дискриминације у погледу запошљавања и занимања. Свака држава чланица је у обавези да спроводи националну политику којом се унапређује једнакост могућности и поступка у погледу запошљавања и занимања,</w:t>
      </w:r>
      <w:r>
        <w:rPr>
          <w:spacing w:val="-3"/>
        </w:rPr>
        <w:t> </w:t>
      </w:r>
      <w:r>
        <w:rPr/>
        <w:t>да</w:t>
      </w:r>
      <w:r>
        <w:rPr>
          <w:spacing w:val="-4"/>
        </w:rPr>
        <w:t> </w:t>
      </w:r>
      <w:r>
        <w:rPr/>
        <w:t>сарађује</w:t>
      </w:r>
      <w:r>
        <w:rPr>
          <w:spacing w:val="-2"/>
        </w:rPr>
        <w:t> </w:t>
      </w:r>
      <w:r>
        <w:rPr/>
        <w:t>са</w:t>
      </w:r>
      <w:r>
        <w:rPr>
          <w:spacing w:val="-4"/>
        </w:rPr>
        <w:t> </w:t>
      </w:r>
      <w:r>
        <w:rPr/>
        <w:t>организацијама</w:t>
      </w:r>
      <w:r>
        <w:rPr>
          <w:spacing w:val="-4"/>
        </w:rPr>
        <w:t> </w:t>
      </w:r>
      <w:r>
        <w:rPr/>
        <w:t>послодаваца</w:t>
      </w:r>
      <w:r>
        <w:rPr>
          <w:spacing w:val="-4"/>
        </w:rPr>
        <w:t> </w:t>
      </w:r>
      <w:r>
        <w:rPr/>
        <w:t>и</w:t>
      </w:r>
      <w:r>
        <w:rPr>
          <w:spacing w:val="-3"/>
        </w:rPr>
        <w:t> </w:t>
      </w:r>
      <w:r>
        <w:rPr/>
        <w:t>радника,</w:t>
      </w:r>
      <w:r>
        <w:rPr>
          <w:spacing w:val="-3"/>
        </w:rPr>
        <w:t> </w:t>
      </w:r>
      <w:r>
        <w:rPr/>
        <w:t>доноси</w:t>
      </w:r>
      <w:r>
        <w:rPr>
          <w:spacing w:val="-3"/>
        </w:rPr>
        <w:t> </w:t>
      </w:r>
      <w:r>
        <w:rPr/>
        <w:t>законе</w:t>
      </w:r>
      <w:r>
        <w:rPr>
          <w:spacing w:val="-4"/>
        </w:rPr>
        <w:t> </w:t>
      </w:r>
      <w:r>
        <w:rPr/>
        <w:t>и</w:t>
      </w:r>
      <w:r>
        <w:rPr>
          <w:spacing w:val="-3"/>
        </w:rPr>
        <w:t> </w:t>
      </w:r>
      <w:r>
        <w:rPr/>
        <w:t>подстиче доношење програма за стручно оспособљавање у циљу прихватања и спровођења такве политике, редовно извештава о предузетим мерама и сл.</w:t>
      </w:r>
    </w:p>
    <w:p>
      <w:pPr>
        <w:pStyle w:val="BodyText"/>
        <w:spacing w:before="272"/>
        <w:ind w:right="716" w:firstLine="707"/>
      </w:pPr>
      <w:r>
        <w:rPr>
          <w:b/>
        </w:rPr>
        <w:t>Конвенција МОР-а</w:t>
      </w:r>
      <w:r>
        <w:rPr>
          <w:b/>
          <w:spacing w:val="40"/>
        </w:rPr>
        <w:t> </w:t>
      </w:r>
      <w:r>
        <w:rPr>
          <w:b/>
        </w:rPr>
        <w:t>број 122 о политици запошљавања </w:t>
      </w:r>
      <w:r>
        <w:rPr/>
        <w:t>- дефинише доношење различитих</w:t>
      </w:r>
      <w:r>
        <w:rPr>
          <w:spacing w:val="40"/>
        </w:rPr>
        <w:t> </w:t>
      </w:r>
      <w:r>
        <w:rPr/>
        <w:t>програма</w:t>
      </w:r>
      <w:r>
        <w:rPr>
          <w:spacing w:val="-7"/>
        </w:rPr>
        <w:t> </w:t>
      </w:r>
      <w:r>
        <w:rPr/>
        <w:t>и</w:t>
      </w:r>
      <w:r>
        <w:rPr>
          <w:spacing w:val="-5"/>
        </w:rPr>
        <w:t> </w:t>
      </w:r>
      <w:r>
        <w:rPr/>
        <w:t>мера</w:t>
      </w:r>
      <w:r>
        <w:rPr>
          <w:spacing w:val="-7"/>
        </w:rPr>
        <w:t> </w:t>
      </w:r>
      <w:r>
        <w:rPr/>
        <w:t>активне</w:t>
      </w:r>
      <w:r>
        <w:rPr>
          <w:spacing w:val="-7"/>
        </w:rPr>
        <w:t> </w:t>
      </w:r>
      <w:r>
        <w:rPr/>
        <w:t>политике</w:t>
      </w:r>
      <w:r>
        <w:rPr>
          <w:spacing w:val="-6"/>
        </w:rPr>
        <w:t> </w:t>
      </w:r>
      <w:r>
        <w:rPr/>
        <w:t>запошљавања</w:t>
      </w:r>
      <w:r>
        <w:rPr>
          <w:spacing w:val="-7"/>
        </w:rPr>
        <w:t> </w:t>
      </w:r>
      <w:r>
        <w:rPr/>
        <w:t>којима</w:t>
      </w:r>
      <w:r>
        <w:rPr>
          <w:spacing w:val="-7"/>
        </w:rPr>
        <w:t> </w:t>
      </w:r>
      <w:r>
        <w:rPr/>
        <w:t>се</w:t>
      </w:r>
      <w:r>
        <w:rPr>
          <w:spacing w:val="-4"/>
        </w:rPr>
        <w:t> </w:t>
      </w:r>
      <w:r>
        <w:rPr/>
        <w:t>подстиче</w:t>
      </w:r>
      <w:r>
        <w:rPr>
          <w:spacing w:val="-7"/>
        </w:rPr>
        <w:t> </w:t>
      </w:r>
      <w:r>
        <w:rPr/>
        <w:t>повећање економског раста и развоја, слободу у избору занимања и омогућавање стицања квалификација без дискриминације ради веће запошљивости лица која траже запослење, а самим</w:t>
      </w:r>
      <w:r>
        <w:rPr>
          <w:spacing w:val="-4"/>
        </w:rPr>
        <w:t> </w:t>
      </w:r>
      <w:r>
        <w:rPr/>
        <w:t>тим</w:t>
      </w:r>
      <w:r>
        <w:rPr>
          <w:spacing w:val="-4"/>
        </w:rPr>
        <w:t> </w:t>
      </w:r>
      <w:r>
        <w:rPr/>
        <w:t>подизање</w:t>
      </w:r>
      <w:r>
        <w:rPr>
          <w:spacing w:val="-4"/>
        </w:rPr>
        <w:t> </w:t>
      </w:r>
      <w:r>
        <w:rPr/>
        <w:t>животног</w:t>
      </w:r>
      <w:r>
        <w:rPr>
          <w:spacing w:val="-4"/>
        </w:rPr>
        <w:t> </w:t>
      </w:r>
      <w:r>
        <w:rPr/>
        <w:t>стандарда</w:t>
      </w:r>
      <w:r>
        <w:rPr>
          <w:spacing w:val="-4"/>
        </w:rPr>
        <w:t> </w:t>
      </w:r>
      <w:r>
        <w:rPr/>
        <w:t>грађана</w:t>
      </w:r>
      <w:r>
        <w:rPr>
          <w:spacing w:val="-4"/>
        </w:rPr>
        <w:t> </w:t>
      </w:r>
      <w:r>
        <w:rPr/>
        <w:t>и</w:t>
      </w:r>
      <w:r>
        <w:rPr>
          <w:spacing w:val="-3"/>
        </w:rPr>
        <w:t> </w:t>
      </w:r>
      <w:r>
        <w:rPr/>
        <w:t>решавање</w:t>
      </w:r>
      <w:r>
        <w:rPr>
          <w:spacing w:val="-4"/>
        </w:rPr>
        <w:t> </w:t>
      </w:r>
      <w:r>
        <w:rPr/>
        <w:t>проблема</w:t>
      </w:r>
      <w:r>
        <w:rPr>
          <w:spacing w:val="-4"/>
        </w:rPr>
        <w:t> </w:t>
      </w:r>
      <w:r>
        <w:rPr/>
        <w:t>незапослености</w:t>
      </w:r>
      <w:r>
        <w:rPr>
          <w:spacing w:val="-2"/>
        </w:rPr>
        <w:t> </w:t>
      </w:r>
      <w:r>
        <w:rPr/>
        <w:t>на регионалном и локалном нивоу, као и сарадњу са</w:t>
      </w:r>
      <w:r>
        <w:rPr>
          <w:spacing w:val="40"/>
        </w:rPr>
        <w:t> </w:t>
      </w:r>
      <w:r>
        <w:rPr/>
        <w:t>радницима и послодавцима у циљу одређивања, анализирања и разматрања доношења прописа.</w:t>
      </w:r>
    </w:p>
    <w:p>
      <w:pPr>
        <w:pStyle w:val="BodyText"/>
        <w:spacing w:before="5"/>
        <w:ind w:left="0"/>
        <w:jc w:val="left"/>
      </w:pPr>
    </w:p>
    <w:p>
      <w:pPr>
        <w:spacing w:line="240" w:lineRule="auto" w:before="0"/>
        <w:ind w:left="360" w:right="716" w:firstLine="707"/>
        <w:jc w:val="both"/>
        <w:rPr>
          <w:sz w:val="24"/>
        </w:rPr>
      </w:pPr>
      <w:r>
        <w:rPr>
          <w:b/>
          <w:sz w:val="24"/>
        </w:rPr>
        <w:t>Конвенција МОР-а број 142 о професионалној оријентацији и стручном оспособљавању</w:t>
      </w:r>
      <w:r>
        <w:rPr>
          <w:b/>
          <w:spacing w:val="-15"/>
          <w:sz w:val="24"/>
        </w:rPr>
        <w:t> </w:t>
      </w:r>
      <w:r>
        <w:rPr>
          <w:b/>
          <w:sz w:val="24"/>
        </w:rPr>
        <w:t>у</w:t>
      </w:r>
      <w:r>
        <w:rPr>
          <w:b/>
          <w:spacing w:val="-15"/>
          <w:sz w:val="24"/>
        </w:rPr>
        <w:t> </w:t>
      </w:r>
      <w:r>
        <w:rPr>
          <w:b/>
          <w:sz w:val="24"/>
        </w:rPr>
        <w:t>развоју</w:t>
      </w:r>
      <w:r>
        <w:rPr>
          <w:b/>
          <w:spacing w:val="-15"/>
          <w:sz w:val="24"/>
        </w:rPr>
        <w:t> </w:t>
      </w:r>
      <w:r>
        <w:rPr>
          <w:b/>
          <w:sz w:val="24"/>
        </w:rPr>
        <w:t>људских</w:t>
      </w:r>
      <w:r>
        <w:rPr>
          <w:b/>
          <w:spacing w:val="-15"/>
          <w:sz w:val="24"/>
        </w:rPr>
        <w:t> </w:t>
      </w:r>
      <w:r>
        <w:rPr>
          <w:b/>
          <w:sz w:val="24"/>
        </w:rPr>
        <w:t>ресурса</w:t>
      </w:r>
      <w:r>
        <w:rPr>
          <w:b/>
          <w:spacing w:val="-15"/>
          <w:sz w:val="24"/>
        </w:rPr>
        <w:t> </w:t>
      </w:r>
      <w:r>
        <w:rPr>
          <w:sz w:val="24"/>
        </w:rPr>
        <w:t>-</w:t>
      </w:r>
      <w:r>
        <w:rPr>
          <w:spacing w:val="-15"/>
          <w:sz w:val="24"/>
        </w:rPr>
        <w:t> </w:t>
      </w:r>
      <w:r>
        <w:rPr>
          <w:sz w:val="24"/>
        </w:rPr>
        <w:t>дефинише</w:t>
      </w:r>
      <w:r>
        <w:rPr>
          <w:spacing w:val="-15"/>
          <w:sz w:val="24"/>
        </w:rPr>
        <w:t> </w:t>
      </w:r>
      <w:r>
        <w:rPr>
          <w:sz w:val="24"/>
        </w:rPr>
        <w:t>развијање</w:t>
      </w:r>
      <w:r>
        <w:rPr>
          <w:spacing w:val="-15"/>
          <w:sz w:val="24"/>
        </w:rPr>
        <w:t> </w:t>
      </w:r>
      <w:r>
        <w:rPr>
          <w:sz w:val="24"/>
        </w:rPr>
        <w:t>координиране</w:t>
      </w:r>
      <w:r>
        <w:rPr>
          <w:spacing w:val="-15"/>
          <w:sz w:val="24"/>
        </w:rPr>
        <w:t> </w:t>
      </w:r>
      <w:r>
        <w:rPr>
          <w:sz w:val="24"/>
        </w:rPr>
        <w:t>политике и програма професионалне оријентације и стручног оспособљавања у сарадњи са послодавцима и радницима, као и другим заинтересованим организацијама, проширивање система</w:t>
      </w:r>
      <w:r>
        <w:rPr>
          <w:spacing w:val="-12"/>
          <w:sz w:val="24"/>
        </w:rPr>
        <w:t> </w:t>
      </w:r>
      <w:r>
        <w:rPr>
          <w:sz w:val="24"/>
        </w:rPr>
        <w:t>професионалне</w:t>
      </w:r>
      <w:r>
        <w:rPr>
          <w:spacing w:val="-12"/>
          <w:sz w:val="24"/>
        </w:rPr>
        <w:t> </w:t>
      </w:r>
      <w:r>
        <w:rPr>
          <w:sz w:val="24"/>
        </w:rPr>
        <w:t>оријентације</w:t>
      </w:r>
      <w:r>
        <w:rPr>
          <w:spacing w:val="-11"/>
          <w:sz w:val="24"/>
        </w:rPr>
        <w:t> </w:t>
      </w:r>
      <w:r>
        <w:rPr>
          <w:sz w:val="24"/>
        </w:rPr>
        <w:t>и</w:t>
      </w:r>
      <w:r>
        <w:rPr>
          <w:spacing w:val="-10"/>
          <w:sz w:val="24"/>
        </w:rPr>
        <w:t> </w:t>
      </w:r>
      <w:r>
        <w:rPr>
          <w:sz w:val="24"/>
        </w:rPr>
        <w:t>стално</w:t>
      </w:r>
      <w:r>
        <w:rPr>
          <w:spacing w:val="-11"/>
          <w:sz w:val="24"/>
        </w:rPr>
        <w:t> </w:t>
      </w:r>
      <w:r>
        <w:rPr>
          <w:sz w:val="24"/>
        </w:rPr>
        <w:t>информисање</w:t>
      </w:r>
      <w:r>
        <w:rPr>
          <w:spacing w:val="-12"/>
          <w:sz w:val="24"/>
        </w:rPr>
        <w:t> </w:t>
      </w:r>
      <w:r>
        <w:rPr>
          <w:sz w:val="24"/>
        </w:rPr>
        <w:t>о</w:t>
      </w:r>
      <w:r>
        <w:rPr>
          <w:spacing w:val="-11"/>
          <w:sz w:val="24"/>
        </w:rPr>
        <w:t> </w:t>
      </w:r>
      <w:r>
        <w:rPr>
          <w:sz w:val="24"/>
        </w:rPr>
        <w:t>могућностима</w:t>
      </w:r>
      <w:r>
        <w:rPr>
          <w:spacing w:val="-12"/>
          <w:sz w:val="24"/>
        </w:rPr>
        <w:t> </w:t>
      </w:r>
      <w:r>
        <w:rPr>
          <w:sz w:val="24"/>
        </w:rPr>
        <w:t>запошљавања</w:t>
      </w:r>
    </w:p>
    <w:p>
      <w:pPr>
        <w:spacing w:after="0" w:line="240" w:lineRule="auto"/>
        <w:jc w:val="both"/>
        <w:rPr>
          <w:sz w:val="24"/>
        </w:rPr>
        <w:sectPr>
          <w:pgSz w:w="12240" w:h="15840"/>
          <w:pgMar w:header="0" w:footer="702" w:top="1360" w:bottom="900" w:left="1080" w:right="720"/>
        </w:sectPr>
      </w:pPr>
    </w:p>
    <w:p>
      <w:pPr>
        <w:pStyle w:val="BodyText"/>
        <w:spacing w:before="72"/>
        <w:ind w:right="725"/>
      </w:pPr>
      <w:r>
        <w:rPr/>
        <w:t>како би се обезбедила доступност деци, омладини и одраслима, а одговарајући програми свим особама са инвалидитетом (ОСИ).</w:t>
      </w:r>
    </w:p>
    <w:p>
      <w:pPr>
        <w:pStyle w:val="BodyText"/>
        <w:spacing w:before="5"/>
        <w:ind w:left="0"/>
        <w:jc w:val="left"/>
      </w:pPr>
    </w:p>
    <w:p>
      <w:pPr>
        <w:pStyle w:val="BodyText"/>
        <w:ind w:right="719" w:firstLine="707"/>
      </w:pPr>
      <w:r>
        <w:rPr>
          <w:b/>
        </w:rPr>
        <w:t>Конвенција</w:t>
      </w:r>
      <w:r>
        <w:rPr>
          <w:b/>
          <w:spacing w:val="-4"/>
        </w:rPr>
        <w:t> </w:t>
      </w:r>
      <w:r>
        <w:rPr>
          <w:b/>
        </w:rPr>
        <w:t>МОР-а</w:t>
      </w:r>
      <w:r>
        <w:rPr>
          <w:b/>
          <w:spacing w:val="-4"/>
        </w:rPr>
        <w:t> </w:t>
      </w:r>
      <w:r>
        <w:rPr>
          <w:b/>
        </w:rPr>
        <w:t>број</w:t>
      </w:r>
      <w:r>
        <w:rPr>
          <w:b/>
          <w:spacing w:val="-4"/>
        </w:rPr>
        <w:t> </w:t>
      </w:r>
      <w:r>
        <w:rPr>
          <w:b/>
        </w:rPr>
        <w:t>159</w:t>
      </w:r>
      <w:r>
        <w:rPr>
          <w:b/>
          <w:spacing w:val="-4"/>
        </w:rPr>
        <w:t> </w:t>
      </w:r>
      <w:r>
        <w:rPr>
          <w:b/>
        </w:rPr>
        <w:t>о</w:t>
      </w:r>
      <w:r>
        <w:rPr>
          <w:b/>
          <w:spacing w:val="-4"/>
        </w:rPr>
        <w:t> </w:t>
      </w:r>
      <w:r>
        <w:rPr>
          <w:b/>
        </w:rPr>
        <w:t>професионалној</w:t>
      </w:r>
      <w:r>
        <w:rPr>
          <w:b/>
          <w:spacing w:val="-4"/>
        </w:rPr>
        <w:t> </w:t>
      </w:r>
      <w:r>
        <w:rPr>
          <w:b/>
        </w:rPr>
        <w:t>рехабилитацији</w:t>
      </w:r>
      <w:r>
        <w:rPr>
          <w:b/>
          <w:spacing w:val="-5"/>
        </w:rPr>
        <w:t> </w:t>
      </w:r>
      <w:r>
        <w:rPr>
          <w:b/>
        </w:rPr>
        <w:t>и</w:t>
      </w:r>
      <w:r>
        <w:rPr>
          <w:b/>
          <w:spacing w:val="-4"/>
        </w:rPr>
        <w:t> </w:t>
      </w:r>
      <w:r>
        <w:rPr>
          <w:b/>
        </w:rPr>
        <w:t>запошљавању инвалида - д</w:t>
      </w:r>
      <w:r>
        <w:rPr/>
        <w:t>ефинише обавезу доношења прописа који ће уредити област запошљавања и професионалне рехабилитације ОСИ, доношење програма и мера у погледу образовања и рада</w:t>
      </w:r>
      <w:r>
        <w:rPr>
          <w:spacing w:val="-4"/>
        </w:rPr>
        <w:t> </w:t>
      </w:r>
      <w:r>
        <w:rPr/>
        <w:t>ОСИ</w:t>
      </w:r>
      <w:r>
        <w:rPr>
          <w:spacing w:val="-2"/>
        </w:rPr>
        <w:t> </w:t>
      </w:r>
      <w:r>
        <w:rPr/>
        <w:t>који</w:t>
      </w:r>
      <w:r>
        <w:rPr>
          <w:spacing w:val="-2"/>
        </w:rPr>
        <w:t> </w:t>
      </w:r>
      <w:r>
        <w:rPr/>
        <w:t>ће</w:t>
      </w:r>
      <w:r>
        <w:rPr>
          <w:spacing w:val="-4"/>
        </w:rPr>
        <w:t> </w:t>
      </w:r>
      <w:r>
        <w:rPr/>
        <w:t>пружити</w:t>
      </w:r>
      <w:r>
        <w:rPr>
          <w:spacing w:val="-2"/>
        </w:rPr>
        <w:t> </w:t>
      </w:r>
      <w:r>
        <w:rPr/>
        <w:t>једнаке</w:t>
      </w:r>
      <w:r>
        <w:rPr>
          <w:spacing w:val="-4"/>
        </w:rPr>
        <w:t> </w:t>
      </w:r>
      <w:r>
        <w:rPr/>
        <w:t>могућности</w:t>
      </w:r>
      <w:r>
        <w:rPr>
          <w:spacing w:val="-2"/>
        </w:rPr>
        <w:t> </w:t>
      </w:r>
      <w:r>
        <w:rPr/>
        <w:t>и</w:t>
      </w:r>
      <w:r>
        <w:rPr>
          <w:spacing w:val="-3"/>
        </w:rPr>
        <w:t> </w:t>
      </w:r>
      <w:r>
        <w:rPr/>
        <w:t>подстаћи</w:t>
      </w:r>
      <w:r>
        <w:rPr>
          <w:spacing w:val="-3"/>
        </w:rPr>
        <w:t> </w:t>
      </w:r>
      <w:r>
        <w:rPr/>
        <w:t>њихову</w:t>
      </w:r>
      <w:r>
        <w:rPr>
          <w:spacing w:val="-9"/>
        </w:rPr>
        <w:t> </w:t>
      </w:r>
      <w:r>
        <w:rPr/>
        <w:t>самосталност,</w:t>
      </w:r>
      <w:r>
        <w:rPr>
          <w:spacing w:val="-1"/>
        </w:rPr>
        <w:t> </w:t>
      </w:r>
      <w:r>
        <w:rPr/>
        <w:t>учешће у друштвеном животу и друге активности у свим областима живота и рада ОСИ, и то уз консултацију са послодавцима и радницима као и организацијама које се баве питањима ОСИ.</w:t>
      </w:r>
      <w:r>
        <w:rPr>
          <w:spacing w:val="-4"/>
        </w:rPr>
        <w:t> </w:t>
      </w:r>
      <w:r>
        <w:rPr/>
        <w:t>Такође,</w:t>
      </w:r>
      <w:r>
        <w:rPr>
          <w:spacing w:val="-2"/>
        </w:rPr>
        <w:t> </w:t>
      </w:r>
      <w:r>
        <w:rPr/>
        <w:t>потребно</w:t>
      </w:r>
      <w:r>
        <w:rPr>
          <w:spacing w:val="-4"/>
        </w:rPr>
        <w:t> </w:t>
      </w:r>
      <w:r>
        <w:rPr/>
        <w:t>је</w:t>
      </w:r>
      <w:r>
        <w:rPr>
          <w:spacing w:val="-4"/>
        </w:rPr>
        <w:t> </w:t>
      </w:r>
      <w:r>
        <w:rPr/>
        <w:t>обезбедити</w:t>
      </w:r>
      <w:r>
        <w:rPr>
          <w:spacing w:val="-3"/>
        </w:rPr>
        <w:t> </w:t>
      </w:r>
      <w:r>
        <w:rPr/>
        <w:t>обуку,</w:t>
      </w:r>
      <w:r>
        <w:rPr>
          <w:spacing w:val="-4"/>
        </w:rPr>
        <w:t> </w:t>
      </w:r>
      <w:r>
        <w:rPr/>
        <w:t>саветнике</w:t>
      </w:r>
      <w:r>
        <w:rPr>
          <w:spacing w:val="-5"/>
        </w:rPr>
        <w:t> </w:t>
      </w:r>
      <w:r>
        <w:rPr/>
        <w:t>за</w:t>
      </w:r>
      <w:r>
        <w:rPr>
          <w:spacing w:val="-5"/>
        </w:rPr>
        <w:t> </w:t>
      </w:r>
      <w:r>
        <w:rPr/>
        <w:t>рехабилитацију,</w:t>
      </w:r>
      <w:r>
        <w:rPr>
          <w:spacing w:val="-2"/>
        </w:rPr>
        <w:t> </w:t>
      </w:r>
      <w:r>
        <w:rPr/>
        <w:t>обучено</w:t>
      </w:r>
      <w:r>
        <w:rPr>
          <w:spacing w:val="-4"/>
        </w:rPr>
        <w:t> </w:t>
      </w:r>
      <w:r>
        <w:rPr/>
        <w:t>особље за професионалну оријентацију, стручно оспособљавање, посредовање и запошљавање </w:t>
      </w:r>
      <w:r>
        <w:rPr>
          <w:spacing w:val="-4"/>
        </w:rPr>
        <w:t>ОСИ.</w:t>
      </w:r>
    </w:p>
    <w:p>
      <w:pPr>
        <w:pStyle w:val="BodyText"/>
        <w:spacing w:before="3"/>
        <w:ind w:left="0"/>
        <w:jc w:val="left"/>
      </w:pPr>
    </w:p>
    <w:p>
      <w:pPr>
        <w:spacing w:line="237" w:lineRule="auto" w:before="0"/>
        <w:ind w:left="360" w:right="717" w:firstLine="707"/>
        <w:jc w:val="both"/>
        <w:rPr>
          <w:sz w:val="24"/>
        </w:rPr>
      </w:pPr>
      <w:r>
        <w:rPr>
          <w:b/>
          <w:sz w:val="24"/>
        </w:rPr>
        <w:t>Конвенција МОР-а број 181 о приватним агенцијама за запошљавање - д</w:t>
      </w:r>
      <w:r>
        <w:rPr>
          <w:sz w:val="24"/>
        </w:rPr>
        <w:t>ефинише услове за рад приватних агенција за запошљавање, флексибилност на тржишту рада и заштиту радницима који користе услуге приватних агенција.</w:t>
      </w:r>
    </w:p>
    <w:p>
      <w:pPr>
        <w:pStyle w:val="BodyText"/>
        <w:spacing w:before="6"/>
        <w:ind w:left="0"/>
        <w:jc w:val="left"/>
      </w:pPr>
    </w:p>
    <w:p>
      <w:pPr>
        <w:pStyle w:val="Heading3"/>
        <w:spacing w:line="274" w:lineRule="exact"/>
      </w:pPr>
      <w:r>
        <w:rPr/>
        <w:t>Савет</w:t>
      </w:r>
      <w:r>
        <w:rPr>
          <w:spacing w:val="-3"/>
        </w:rPr>
        <w:t> </w:t>
      </w:r>
      <w:r>
        <w:rPr>
          <w:spacing w:val="-2"/>
        </w:rPr>
        <w:t>Европе</w:t>
      </w:r>
    </w:p>
    <w:p>
      <w:pPr>
        <w:pStyle w:val="BodyText"/>
        <w:ind w:right="720" w:firstLine="707"/>
      </w:pPr>
      <w:r>
        <w:rPr/>
        <w:t>Савет Европе је регионална </w:t>
      </w:r>
      <w:hyperlink r:id="rId6">
        <w:r>
          <w:rPr/>
          <w:t>међународна организација</w:t>
        </w:r>
      </w:hyperlink>
      <w:r>
        <w:rPr/>
        <w:t> европских земаља, наднационалног карактера, усмерена ка остваривању основних личних и демократских права и слобода. Документа од значаја за уређење области политике запошљавања су:</w:t>
      </w:r>
    </w:p>
    <w:p>
      <w:pPr>
        <w:pStyle w:val="BodyText"/>
        <w:ind w:right="715" w:firstLine="719"/>
      </w:pPr>
      <w:r>
        <w:rPr>
          <w:b/>
        </w:rPr>
        <w:t>Европска конвенција о заштити права човека и основним слободама </w:t>
      </w:r>
      <w:r>
        <w:rPr/>
        <w:t>која садржи одредбе о основним социјалним правима – забрањује принудан и ропски рад и гарантује слободу удруживања, укључујући и слободу синдикалног удруживања. Од посебног значаја је прокламовање</w:t>
      </w:r>
      <w:r>
        <w:rPr>
          <w:spacing w:val="-1"/>
        </w:rPr>
        <w:t> </w:t>
      </w:r>
      <w:r>
        <w:rPr/>
        <w:t>начела</w:t>
      </w:r>
      <w:r>
        <w:rPr>
          <w:spacing w:val="-1"/>
        </w:rPr>
        <w:t> </w:t>
      </w:r>
      <w:r>
        <w:rPr/>
        <w:t>недискриминације, што</w:t>
      </w:r>
      <w:r>
        <w:rPr>
          <w:spacing w:val="-1"/>
        </w:rPr>
        <w:t> </w:t>
      </w:r>
      <w:r>
        <w:rPr/>
        <w:t>значи да</w:t>
      </w:r>
      <w:r>
        <w:rPr>
          <w:spacing w:val="-1"/>
        </w:rPr>
        <w:t> </w:t>
      </w:r>
      <w:r>
        <w:rPr/>
        <w:t>ниједан</w:t>
      </w:r>
      <w:r>
        <w:rPr>
          <w:spacing w:val="-1"/>
        </w:rPr>
        <w:t> </w:t>
      </w:r>
      <w:r>
        <w:rPr/>
        <w:t>закон у области радног и социјалног законодавства не сме бити дискриминаторски.</w:t>
      </w:r>
    </w:p>
    <w:p>
      <w:pPr>
        <w:pStyle w:val="BodyText"/>
        <w:spacing w:before="274"/>
        <w:ind w:right="717" w:firstLine="719"/>
      </w:pPr>
      <w:r>
        <w:rPr>
          <w:b/>
        </w:rPr>
        <w:t>Европска</w:t>
      </w:r>
      <w:r>
        <w:rPr>
          <w:b/>
          <w:spacing w:val="-9"/>
        </w:rPr>
        <w:t> </w:t>
      </w:r>
      <w:r>
        <w:rPr>
          <w:b/>
        </w:rPr>
        <w:t>социјална</w:t>
      </w:r>
      <w:r>
        <w:rPr>
          <w:b/>
          <w:spacing w:val="-9"/>
        </w:rPr>
        <w:t> </w:t>
      </w:r>
      <w:r>
        <w:rPr>
          <w:b/>
        </w:rPr>
        <w:t>повеља</w:t>
      </w:r>
      <w:r>
        <w:rPr>
          <w:b/>
          <w:spacing w:val="-7"/>
        </w:rPr>
        <w:t> </w:t>
      </w:r>
      <w:r>
        <w:rPr/>
        <w:t>односно</w:t>
      </w:r>
      <w:r>
        <w:rPr>
          <w:spacing w:val="-8"/>
        </w:rPr>
        <w:t> </w:t>
      </w:r>
      <w:r>
        <w:rPr>
          <w:b/>
        </w:rPr>
        <w:t>Ревидирана</w:t>
      </w:r>
      <w:r>
        <w:rPr>
          <w:b/>
          <w:spacing w:val="-9"/>
        </w:rPr>
        <w:t> </w:t>
      </w:r>
      <w:r>
        <w:rPr>
          <w:b/>
        </w:rPr>
        <w:t>европска</w:t>
      </w:r>
      <w:r>
        <w:rPr>
          <w:b/>
          <w:spacing w:val="-11"/>
        </w:rPr>
        <w:t> </w:t>
      </w:r>
      <w:r>
        <w:rPr>
          <w:b/>
        </w:rPr>
        <w:t>социјална</w:t>
      </w:r>
      <w:r>
        <w:rPr>
          <w:b/>
          <w:spacing w:val="-9"/>
        </w:rPr>
        <w:t> </w:t>
      </w:r>
      <w:r>
        <w:rPr>
          <w:b/>
        </w:rPr>
        <w:t>повеља</w:t>
      </w:r>
      <w:r>
        <w:rPr>
          <w:b/>
          <w:spacing w:val="-5"/>
        </w:rPr>
        <w:t> </w:t>
      </w:r>
      <w:r>
        <w:rPr/>
        <w:t>се сматра својеврсним „социјалним уставом” Савета Европе. Повељом је утврђено да су државе обавезне да створе услове у којима сви имају могућност да се баве занимањима за које се слободно определе, да остварују праведну</w:t>
      </w:r>
      <w:r>
        <w:rPr>
          <w:spacing w:val="-3"/>
        </w:rPr>
        <w:t> </w:t>
      </w:r>
      <w:r>
        <w:rPr/>
        <w:t>накнаду за свој рад без дискриминације, право на социјалну и медицинску заштиту, адекватне услове становања, као и право на заштиту од сиромаштва и социјалне искључености.</w:t>
      </w:r>
    </w:p>
    <w:p>
      <w:pPr>
        <w:pStyle w:val="BodyText"/>
        <w:spacing w:before="6"/>
        <w:ind w:left="0"/>
        <w:jc w:val="left"/>
      </w:pPr>
    </w:p>
    <w:p>
      <w:pPr>
        <w:pStyle w:val="Heading3"/>
      </w:pPr>
      <w:r>
        <w:rPr/>
        <w:t>Европска</w:t>
      </w:r>
      <w:r>
        <w:rPr>
          <w:spacing w:val="-3"/>
        </w:rPr>
        <w:t> </w:t>
      </w:r>
      <w:r>
        <w:rPr/>
        <w:t>унија</w:t>
      </w:r>
      <w:r>
        <w:rPr>
          <w:spacing w:val="-3"/>
        </w:rPr>
        <w:t> </w:t>
      </w:r>
      <w:r>
        <w:rPr/>
        <w:t>(Опште</w:t>
      </w:r>
      <w:r>
        <w:rPr>
          <w:spacing w:val="-3"/>
        </w:rPr>
        <w:t> </w:t>
      </w:r>
      <w:r>
        <w:rPr/>
        <w:t>смернице</w:t>
      </w:r>
      <w:r>
        <w:rPr>
          <w:spacing w:val="-4"/>
        </w:rPr>
        <w:t> </w:t>
      </w:r>
      <w:r>
        <w:rPr/>
        <w:t>за</w:t>
      </w:r>
      <w:r>
        <w:rPr>
          <w:spacing w:val="-3"/>
        </w:rPr>
        <w:t> </w:t>
      </w:r>
      <w:r>
        <w:rPr/>
        <w:t>политику</w:t>
      </w:r>
      <w:r>
        <w:rPr>
          <w:spacing w:val="-2"/>
        </w:rPr>
        <w:t> запошљавања)</w:t>
      </w:r>
    </w:p>
    <w:p>
      <w:pPr>
        <w:pStyle w:val="BodyText"/>
        <w:spacing w:before="271"/>
        <w:ind w:right="716" w:firstLine="719"/>
      </w:pPr>
      <w:r>
        <w:rPr>
          <w:b/>
        </w:rPr>
        <w:t>Уговором</w:t>
      </w:r>
      <w:r>
        <w:rPr>
          <w:b/>
          <w:spacing w:val="-12"/>
        </w:rPr>
        <w:t> </w:t>
      </w:r>
      <w:r>
        <w:rPr>
          <w:b/>
        </w:rPr>
        <w:t>о</w:t>
      </w:r>
      <w:r>
        <w:rPr>
          <w:b/>
          <w:spacing w:val="-12"/>
        </w:rPr>
        <w:t> </w:t>
      </w:r>
      <w:r>
        <w:rPr>
          <w:b/>
        </w:rPr>
        <w:t>Европској</w:t>
      </w:r>
      <w:r>
        <w:rPr>
          <w:b/>
          <w:spacing w:val="-12"/>
        </w:rPr>
        <w:t> </w:t>
      </w:r>
      <w:r>
        <w:rPr>
          <w:b/>
        </w:rPr>
        <w:t>унији</w:t>
      </w:r>
      <w:r>
        <w:rPr>
          <w:b/>
          <w:spacing w:val="-9"/>
        </w:rPr>
        <w:t> </w:t>
      </w:r>
      <w:r>
        <w:rPr/>
        <w:t>(1992.</w:t>
      </w:r>
      <w:r>
        <w:rPr>
          <w:spacing w:val="-12"/>
        </w:rPr>
        <w:t> </w:t>
      </w:r>
      <w:r>
        <w:rPr/>
        <w:t>година)</w:t>
      </w:r>
      <w:r>
        <w:rPr>
          <w:spacing w:val="-12"/>
        </w:rPr>
        <w:t> </w:t>
      </w:r>
      <w:r>
        <w:rPr/>
        <w:t>основана</w:t>
      </w:r>
      <w:r>
        <w:rPr>
          <w:spacing w:val="-13"/>
        </w:rPr>
        <w:t> </w:t>
      </w:r>
      <w:r>
        <w:rPr/>
        <w:t>је</w:t>
      </w:r>
      <w:r>
        <w:rPr>
          <w:spacing w:val="-12"/>
        </w:rPr>
        <w:t> </w:t>
      </w:r>
      <w:r>
        <w:rPr/>
        <w:t>ЕУ</w:t>
      </w:r>
      <w:r>
        <w:rPr>
          <w:spacing w:val="-11"/>
        </w:rPr>
        <w:t> </w:t>
      </w:r>
      <w:r>
        <w:rPr/>
        <w:t>и</w:t>
      </w:r>
      <w:r>
        <w:rPr>
          <w:spacing w:val="-13"/>
        </w:rPr>
        <w:t> </w:t>
      </w:r>
      <w:r>
        <w:rPr/>
        <w:t>постављени</w:t>
      </w:r>
      <w:r>
        <w:rPr>
          <w:spacing w:val="-8"/>
        </w:rPr>
        <w:t> </w:t>
      </w:r>
      <w:r>
        <w:rPr/>
        <w:t>услови</w:t>
      </w:r>
      <w:r>
        <w:rPr>
          <w:spacing w:val="-11"/>
        </w:rPr>
        <w:t> </w:t>
      </w:r>
      <w:r>
        <w:rPr/>
        <w:t>за увођење елемената политичке уније (права грађанства, заједничка спољна и унутрашња политика). Послови политике запошљавања и социјалне политике уређују се кроз општи оквир права и смерница.</w:t>
      </w:r>
    </w:p>
    <w:p>
      <w:pPr>
        <w:pStyle w:val="BodyText"/>
        <w:ind w:left="0"/>
        <w:jc w:val="left"/>
      </w:pPr>
    </w:p>
    <w:p>
      <w:pPr>
        <w:pStyle w:val="BodyText"/>
        <w:ind w:right="720" w:firstLine="719"/>
      </w:pPr>
      <w:r>
        <w:rPr>
          <w:b/>
        </w:rPr>
        <w:t>Европски</w:t>
      </w:r>
      <w:r>
        <w:rPr>
          <w:b/>
          <w:spacing w:val="-3"/>
        </w:rPr>
        <w:t> </w:t>
      </w:r>
      <w:r>
        <w:rPr>
          <w:b/>
        </w:rPr>
        <w:t>стуб</w:t>
      </w:r>
      <w:r>
        <w:rPr>
          <w:b/>
          <w:spacing w:val="-4"/>
        </w:rPr>
        <w:t> </w:t>
      </w:r>
      <w:r>
        <w:rPr>
          <w:b/>
        </w:rPr>
        <w:t>социјалних</w:t>
      </w:r>
      <w:r>
        <w:rPr>
          <w:b/>
          <w:spacing w:val="-3"/>
        </w:rPr>
        <w:t> </w:t>
      </w:r>
      <w:r>
        <w:rPr>
          <w:b/>
        </w:rPr>
        <w:t>права</w:t>
      </w:r>
      <w:r>
        <w:rPr>
          <w:b/>
          <w:spacing w:val="-1"/>
        </w:rPr>
        <w:t> </w:t>
      </w:r>
      <w:r>
        <w:rPr/>
        <w:t>који</w:t>
      </w:r>
      <w:r>
        <w:rPr>
          <w:spacing w:val="-2"/>
        </w:rPr>
        <w:t> </w:t>
      </w:r>
      <w:r>
        <w:rPr/>
        <w:t>садржи 20</w:t>
      </w:r>
      <w:r>
        <w:rPr>
          <w:spacing w:val="-3"/>
        </w:rPr>
        <w:t> </w:t>
      </w:r>
      <w:r>
        <w:rPr/>
        <w:t>начела</w:t>
      </w:r>
      <w:r>
        <w:rPr>
          <w:spacing w:val="-2"/>
        </w:rPr>
        <w:t> </w:t>
      </w:r>
      <w:r>
        <w:rPr/>
        <w:t>и</w:t>
      </w:r>
      <w:r>
        <w:rPr>
          <w:spacing w:val="-3"/>
        </w:rPr>
        <w:t> </w:t>
      </w:r>
      <w:r>
        <w:rPr/>
        <w:t>права</w:t>
      </w:r>
      <w:r>
        <w:rPr>
          <w:spacing w:val="-3"/>
        </w:rPr>
        <w:t> </w:t>
      </w:r>
      <w:r>
        <w:rPr/>
        <w:t>(подељених у</w:t>
      </w:r>
      <w:r>
        <w:rPr>
          <w:spacing w:val="-9"/>
        </w:rPr>
        <w:t> </w:t>
      </w:r>
      <w:r>
        <w:rPr/>
        <w:t>три категорије: једнаке могућности и приступ тржишту рада, динамична тржишта рада и праведни услови рада и јавна подршка/социјална заштита и инклузија), утврђује подстицање запошљавања, побољшање животних и радних услова, као и омогућавање њиховог</w:t>
      </w:r>
      <w:r>
        <w:rPr>
          <w:spacing w:val="30"/>
        </w:rPr>
        <w:t> </w:t>
      </w:r>
      <w:r>
        <w:rPr/>
        <w:t>усклађивања</w:t>
      </w:r>
      <w:r>
        <w:rPr>
          <w:spacing w:val="30"/>
        </w:rPr>
        <w:t> </w:t>
      </w:r>
      <w:r>
        <w:rPr/>
        <w:t>уз</w:t>
      </w:r>
      <w:r>
        <w:rPr>
          <w:spacing w:val="30"/>
        </w:rPr>
        <w:t> </w:t>
      </w:r>
      <w:r>
        <w:rPr/>
        <w:t>одржавање</w:t>
      </w:r>
      <w:r>
        <w:rPr>
          <w:spacing w:val="27"/>
        </w:rPr>
        <w:t> </w:t>
      </w:r>
      <w:r>
        <w:rPr/>
        <w:t>побољшања,</w:t>
      </w:r>
      <w:r>
        <w:rPr>
          <w:spacing w:val="29"/>
        </w:rPr>
        <w:t> </w:t>
      </w:r>
      <w:r>
        <w:rPr/>
        <w:t>адекватне</w:t>
      </w:r>
      <w:r>
        <w:rPr>
          <w:spacing w:val="28"/>
        </w:rPr>
        <w:t> </w:t>
      </w:r>
      <w:r>
        <w:rPr/>
        <w:t>социјалне</w:t>
      </w:r>
      <w:r>
        <w:rPr>
          <w:spacing w:val="28"/>
        </w:rPr>
        <w:t> </w:t>
      </w:r>
      <w:r>
        <w:rPr/>
        <w:t>заштите,</w:t>
      </w:r>
      <w:r>
        <w:rPr>
          <w:spacing w:val="29"/>
        </w:rPr>
        <w:t> </w:t>
      </w:r>
      <w:r>
        <w:rPr>
          <w:spacing w:val="-2"/>
        </w:rPr>
        <w:t>дијалога</w:t>
      </w:r>
    </w:p>
    <w:p>
      <w:pPr>
        <w:pStyle w:val="BodyText"/>
        <w:spacing w:after="0"/>
        <w:sectPr>
          <w:pgSz w:w="12240" w:h="15840"/>
          <w:pgMar w:header="0" w:footer="702" w:top="1360" w:bottom="900" w:left="1080" w:right="720"/>
        </w:sectPr>
      </w:pPr>
    </w:p>
    <w:p>
      <w:pPr>
        <w:pStyle w:val="BodyText"/>
        <w:spacing w:before="72"/>
        <w:ind w:right="713"/>
        <w:jc w:val="left"/>
      </w:pPr>
      <w:r>
        <w:rPr/>
        <w:t>између</w:t>
      </w:r>
      <w:r>
        <w:rPr>
          <w:spacing w:val="-15"/>
        </w:rPr>
        <w:t> </w:t>
      </w:r>
      <w:r>
        <w:rPr/>
        <w:t>послодаваца</w:t>
      </w:r>
      <w:r>
        <w:rPr>
          <w:spacing w:val="-12"/>
        </w:rPr>
        <w:t> </w:t>
      </w:r>
      <w:r>
        <w:rPr/>
        <w:t>и</w:t>
      </w:r>
      <w:r>
        <w:rPr>
          <w:spacing w:val="-10"/>
        </w:rPr>
        <w:t> </w:t>
      </w:r>
      <w:r>
        <w:rPr/>
        <w:t>радника,</w:t>
      </w:r>
      <w:r>
        <w:rPr>
          <w:spacing w:val="-11"/>
        </w:rPr>
        <w:t> </w:t>
      </w:r>
      <w:r>
        <w:rPr/>
        <w:t>развоја</w:t>
      </w:r>
      <w:r>
        <w:rPr>
          <w:spacing w:val="-12"/>
        </w:rPr>
        <w:t> </w:t>
      </w:r>
      <w:r>
        <w:rPr/>
        <w:t>људских</w:t>
      </w:r>
      <w:r>
        <w:rPr>
          <w:spacing w:val="-9"/>
        </w:rPr>
        <w:t> </w:t>
      </w:r>
      <w:r>
        <w:rPr/>
        <w:t>ресурса</w:t>
      </w:r>
      <w:r>
        <w:rPr>
          <w:spacing w:val="-7"/>
        </w:rPr>
        <w:t> </w:t>
      </w:r>
      <w:r>
        <w:rPr/>
        <w:t>у</w:t>
      </w:r>
      <w:r>
        <w:rPr>
          <w:spacing w:val="-15"/>
        </w:rPr>
        <w:t> </w:t>
      </w:r>
      <w:r>
        <w:rPr/>
        <w:t>циљу</w:t>
      </w:r>
      <w:r>
        <w:rPr>
          <w:spacing w:val="-15"/>
        </w:rPr>
        <w:t> </w:t>
      </w:r>
      <w:r>
        <w:rPr/>
        <w:t>трајне</w:t>
      </w:r>
      <w:r>
        <w:rPr>
          <w:spacing w:val="-9"/>
        </w:rPr>
        <w:t> </w:t>
      </w:r>
      <w:r>
        <w:rPr/>
        <w:t>високе</w:t>
      </w:r>
      <w:r>
        <w:rPr>
          <w:spacing w:val="-12"/>
        </w:rPr>
        <w:t> </w:t>
      </w:r>
      <w:r>
        <w:rPr/>
        <w:t>запослености и сузбијања искључености из друштва као кључне циљеве ЕУ.</w:t>
      </w:r>
    </w:p>
    <w:p>
      <w:pPr>
        <w:pStyle w:val="BodyText"/>
        <w:ind w:left="0"/>
        <w:jc w:val="left"/>
      </w:pPr>
    </w:p>
    <w:p>
      <w:pPr>
        <w:pStyle w:val="BodyText"/>
        <w:ind w:right="718" w:firstLine="719"/>
      </w:pPr>
      <w:r>
        <w:rPr>
          <w:b/>
        </w:rPr>
        <w:t>Смернице за запошљавање </w:t>
      </w:r>
      <w:r>
        <w:rPr/>
        <w:t>садрже заједничке приоритете и циљеве политике запошљавања (укључујући и развој предузетништва, малих и средњих предузећа, подстицање доношења мера политике запошљавања на регионалном и локалном нивоу) и од посебног су значаја за национално уређење ове области и усклађивање стратегија запошљавања на нивоу ЕУ.</w:t>
      </w:r>
    </w:p>
    <w:p>
      <w:pPr>
        <w:spacing w:before="271"/>
        <w:ind w:left="360" w:right="713" w:firstLine="719"/>
        <w:jc w:val="both"/>
        <w:rPr>
          <w:i/>
          <w:sz w:val="24"/>
        </w:rPr>
      </w:pPr>
      <w:r>
        <w:rPr>
          <w:b/>
          <w:sz w:val="24"/>
        </w:rPr>
        <w:t>Ревидиране</w:t>
      </w:r>
      <w:r>
        <w:rPr>
          <w:b/>
          <w:spacing w:val="-15"/>
          <w:sz w:val="24"/>
        </w:rPr>
        <w:t> </w:t>
      </w:r>
      <w:r>
        <w:rPr>
          <w:b/>
          <w:sz w:val="24"/>
        </w:rPr>
        <w:t>смернице</w:t>
      </w:r>
      <w:r>
        <w:rPr>
          <w:b/>
          <w:spacing w:val="-15"/>
          <w:sz w:val="24"/>
        </w:rPr>
        <w:t> </w:t>
      </w:r>
      <w:r>
        <w:rPr>
          <w:b/>
          <w:sz w:val="24"/>
        </w:rPr>
        <w:t>за</w:t>
      </w:r>
      <w:r>
        <w:rPr>
          <w:b/>
          <w:spacing w:val="-15"/>
          <w:sz w:val="24"/>
        </w:rPr>
        <w:t> </w:t>
      </w:r>
      <w:r>
        <w:rPr>
          <w:b/>
          <w:sz w:val="24"/>
        </w:rPr>
        <w:t>политике</w:t>
      </w:r>
      <w:r>
        <w:rPr>
          <w:b/>
          <w:spacing w:val="-15"/>
          <w:sz w:val="24"/>
        </w:rPr>
        <w:t> </w:t>
      </w:r>
      <w:r>
        <w:rPr>
          <w:b/>
          <w:sz w:val="24"/>
        </w:rPr>
        <w:t>запошљавања</w:t>
      </w:r>
      <w:r>
        <w:rPr>
          <w:b/>
          <w:spacing w:val="-15"/>
          <w:sz w:val="24"/>
        </w:rPr>
        <w:t> </w:t>
      </w:r>
      <w:r>
        <w:rPr>
          <w:b/>
          <w:sz w:val="24"/>
        </w:rPr>
        <w:t>држава</w:t>
      </w:r>
      <w:r>
        <w:rPr>
          <w:b/>
          <w:spacing w:val="-15"/>
          <w:sz w:val="24"/>
        </w:rPr>
        <w:t> </w:t>
      </w:r>
      <w:r>
        <w:rPr>
          <w:b/>
          <w:sz w:val="24"/>
        </w:rPr>
        <w:t>чланица</w:t>
      </w:r>
      <w:r>
        <w:rPr>
          <w:b/>
          <w:spacing w:val="-15"/>
          <w:sz w:val="24"/>
        </w:rPr>
        <w:t> </w:t>
      </w:r>
      <w:r>
        <w:rPr>
          <w:b/>
          <w:sz w:val="24"/>
        </w:rPr>
        <w:t>ЕУ</w:t>
      </w:r>
      <w:r>
        <w:rPr>
          <w:b/>
          <w:position w:val="8"/>
          <w:sz w:val="16"/>
        </w:rPr>
        <w:t>3</w:t>
      </w:r>
      <w:r>
        <w:rPr>
          <w:b/>
          <w:spacing w:val="-10"/>
          <w:position w:val="8"/>
          <w:sz w:val="16"/>
        </w:rPr>
        <w:t> </w:t>
      </w:r>
      <w:r>
        <w:rPr>
          <w:sz w:val="24"/>
        </w:rPr>
        <w:t>усклађене су</w:t>
      </w:r>
      <w:r>
        <w:rPr>
          <w:spacing w:val="-15"/>
          <w:sz w:val="24"/>
        </w:rPr>
        <w:t> </w:t>
      </w:r>
      <w:r>
        <w:rPr>
          <w:sz w:val="24"/>
        </w:rPr>
        <w:t>са</w:t>
      </w:r>
      <w:r>
        <w:rPr>
          <w:spacing w:val="-15"/>
          <w:sz w:val="24"/>
        </w:rPr>
        <w:t> </w:t>
      </w:r>
      <w:r>
        <w:rPr>
          <w:sz w:val="24"/>
        </w:rPr>
        <w:t>Европским</w:t>
      </w:r>
      <w:r>
        <w:rPr>
          <w:spacing w:val="-15"/>
          <w:sz w:val="24"/>
        </w:rPr>
        <w:t> </w:t>
      </w:r>
      <w:r>
        <w:rPr>
          <w:sz w:val="24"/>
        </w:rPr>
        <w:t>стубом</w:t>
      </w:r>
      <w:r>
        <w:rPr>
          <w:spacing w:val="-15"/>
          <w:sz w:val="24"/>
        </w:rPr>
        <w:t> </w:t>
      </w:r>
      <w:r>
        <w:rPr>
          <w:sz w:val="24"/>
        </w:rPr>
        <w:t>социјалних</w:t>
      </w:r>
      <w:r>
        <w:rPr>
          <w:spacing w:val="-15"/>
          <w:sz w:val="24"/>
        </w:rPr>
        <w:t> </w:t>
      </w:r>
      <w:r>
        <w:rPr>
          <w:sz w:val="24"/>
        </w:rPr>
        <w:t>права,</w:t>
      </w:r>
      <w:r>
        <w:rPr>
          <w:spacing w:val="-15"/>
          <w:sz w:val="24"/>
        </w:rPr>
        <w:t> </w:t>
      </w:r>
      <w:r>
        <w:rPr>
          <w:sz w:val="24"/>
        </w:rPr>
        <w:t>у</w:t>
      </w:r>
      <w:r>
        <w:rPr>
          <w:spacing w:val="-15"/>
          <w:sz w:val="24"/>
        </w:rPr>
        <w:t> </w:t>
      </w:r>
      <w:r>
        <w:rPr>
          <w:sz w:val="24"/>
        </w:rPr>
        <w:t>циљу</w:t>
      </w:r>
      <w:r>
        <w:rPr>
          <w:spacing w:val="-15"/>
          <w:sz w:val="24"/>
        </w:rPr>
        <w:t> </w:t>
      </w:r>
      <w:r>
        <w:rPr>
          <w:sz w:val="24"/>
        </w:rPr>
        <w:t>побољшања</w:t>
      </w:r>
      <w:r>
        <w:rPr>
          <w:spacing w:val="-15"/>
          <w:sz w:val="24"/>
        </w:rPr>
        <w:t> </w:t>
      </w:r>
      <w:r>
        <w:rPr>
          <w:sz w:val="24"/>
        </w:rPr>
        <w:t>конкурентности</w:t>
      </w:r>
      <w:r>
        <w:rPr>
          <w:spacing w:val="-15"/>
          <w:sz w:val="24"/>
        </w:rPr>
        <w:t> </w:t>
      </w:r>
      <w:r>
        <w:rPr>
          <w:sz w:val="24"/>
        </w:rPr>
        <w:t>ЕУ</w:t>
      </w:r>
      <w:r>
        <w:rPr>
          <w:spacing w:val="-14"/>
          <w:sz w:val="24"/>
        </w:rPr>
        <w:t> </w:t>
      </w:r>
      <w:r>
        <w:rPr>
          <w:sz w:val="24"/>
        </w:rPr>
        <w:t>и</w:t>
      </w:r>
      <w:r>
        <w:rPr>
          <w:spacing w:val="-14"/>
          <w:sz w:val="24"/>
        </w:rPr>
        <w:t> </w:t>
      </w:r>
      <w:r>
        <w:rPr>
          <w:sz w:val="24"/>
        </w:rPr>
        <w:t>бољим местом за инвестирање, стварање радних места и подстицање социјалне укључености. Ревидиране</w:t>
      </w:r>
      <w:r>
        <w:rPr>
          <w:spacing w:val="-4"/>
          <w:sz w:val="24"/>
        </w:rPr>
        <w:t> </w:t>
      </w:r>
      <w:r>
        <w:rPr>
          <w:sz w:val="24"/>
        </w:rPr>
        <w:t>смернице</w:t>
      </w:r>
      <w:r>
        <w:rPr>
          <w:spacing w:val="-4"/>
          <w:sz w:val="24"/>
        </w:rPr>
        <w:t> </w:t>
      </w:r>
      <w:r>
        <w:rPr>
          <w:sz w:val="24"/>
        </w:rPr>
        <w:t>за</w:t>
      </w:r>
      <w:r>
        <w:rPr>
          <w:spacing w:val="-4"/>
          <w:sz w:val="24"/>
        </w:rPr>
        <w:t> </w:t>
      </w:r>
      <w:r>
        <w:rPr>
          <w:sz w:val="24"/>
        </w:rPr>
        <w:t>запошљавање</w:t>
      </w:r>
      <w:r>
        <w:rPr>
          <w:spacing w:val="-1"/>
          <w:sz w:val="24"/>
        </w:rPr>
        <w:t> </w:t>
      </w:r>
      <w:r>
        <w:rPr>
          <w:sz w:val="24"/>
        </w:rPr>
        <w:t>су:</w:t>
      </w:r>
      <w:r>
        <w:rPr>
          <w:spacing w:val="-1"/>
          <w:sz w:val="24"/>
        </w:rPr>
        <w:t> </w:t>
      </w:r>
      <w:r>
        <w:rPr>
          <w:sz w:val="24"/>
        </w:rPr>
        <w:t>Смерница</w:t>
      </w:r>
      <w:r>
        <w:rPr>
          <w:spacing w:val="-4"/>
          <w:sz w:val="24"/>
        </w:rPr>
        <w:t> </w:t>
      </w:r>
      <w:r>
        <w:rPr>
          <w:sz w:val="24"/>
        </w:rPr>
        <w:t>5:</w:t>
      </w:r>
      <w:r>
        <w:rPr>
          <w:spacing w:val="-1"/>
          <w:sz w:val="24"/>
        </w:rPr>
        <w:t> </w:t>
      </w:r>
      <w:r>
        <w:rPr>
          <w:i/>
          <w:sz w:val="24"/>
        </w:rPr>
        <w:t>Подстицање</w:t>
      </w:r>
      <w:r>
        <w:rPr>
          <w:i/>
          <w:spacing w:val="-5"/>
          <w:sz w:val="24"/>
        </w:rPr>
        <w:t> </w:t>
      </w:r>
      <w:r>
        <w:rPr>
          <w:i/>
          <w:sz w:val="24"/>
        </w:rPr>
        <w:t>потражње</w:t>
      </w:r>
      <w:r>
        <w:rPr>
          <w:i/>
          <w:spacing w:val="-4"/>
          <w:sz w:val="24"/>
        </w:rPr>
        <w:t> </w:t>
      </w:r>
      <w:r>
        <w:rPr>
          <w:i/>
          <w:sz w:val="24"/>
        </w:rPr>
        <w:t>за</w:t>
      </w:r>
      <w:r>
        <w:rPr>
          <w:i/>
          <w:spacing w:val="-1"/>
          <w:sz w:val="24"/>
        </w:rPr>
        <w:t> </w:t>
      </w:r>
      <w:r>
        <w:rPr>
          <w:i/>
          <w:sz w:val="24"/>
        </w:rPr>
        <w:t>радном снагом</w:t>
      </w:r>
      <w:r>
        <w:rPr>
          <w:sz w:val="24"/>
        </w:rPr>
        <w:t>; Смерница 6: </w:t>
      </w:r>
      <w:r>
        <w:rPr>
          <w:i/>
          <w:sz w:val="24"/>
        </w:rPr>
        <w:t>Побољшање понуде радне снаге: приступ запошљавању, вештинама и компетенцијама</w:t>
      </w:r>
      <w:r>
        <w:rPr>
          <w:sz w:val="24"/>
        </w:rPr>
        <w:t>; Смерница 7: </w:t>
      </w:r>
      <w:r>
        <w:rPr>
          <w:i/>
          <w:sz w:val="24"/>
        </w:rPr>
        <w:t>Побољшање функционисања тржишта рада и делотворности социјалног дијалога</w:t>
      </w:r>
      <w:r>
        <w:rPr>
          <w:sz w:val="24"/>
        </w:rPr>
        <w:t>; Смерница 8: </w:t>
      </w:r>
      <w:r>
        <w:rPr>
          <w:i/>
          <w:sz w:val="24"/>
        </w:rPr>
        <w:t>Промовисање једнаких могућности за све, подстицање социјалне укључености и смањење сиромаштва.</w:t>
      </w:r>
    </w:p>
    <w:p>
      <w:pPr>
        <w:pStyle w:val="BodyText"/>
        <w:spacing w:before="1"/>
        <w:ind w:left="0"/>
        <w:jc w:val="left"/>
        <w:rPr>
          <w:i/>
        </w:rPr>
      </w:pPr>
    </w:p>
    <w:p>
      <w:pPr>
        <w:pStyle w:val="BodyText"/>
        <w:ind w:right="720" w:firstLine="719"/>
      </w:pPr>
      <w:r>
        <w:rPr>
          <w:spacing w:val="-2"/>
        </w:rPr>
        <w:t>Како у</w:t>
      </w:r>
      <w:r>
        <w:rPr>
          <w:spacing w:val="-12"/>
        </w:rPr>
        <w:t> </w:t>
      </w:r>
      <w:r>
        <w:rPr>
          <w:spacing w:val="-2"/>
        </w:rPr>
        <w:t>области</w:t>
      </w:r>
      <w:r>
        <w:rPr>
          <w:spacing w:val="-4"/>
        </w:rPr>
        <w:t> </w:t>
      </w:r>
      <w:r>
        <w:rPr>
          <w:spacing w:val="-2"/>
        </w:rPr>
        <w:t>политике</w:t>
      </w:r>
      <w:r>
        <w:rPr>
          <w:spacing w:val="-7"/>
        </w:rPr>
        <w:t> </w:t>
      </w:r>
      <w:r>
        <w:rPr>
          <w:spacing w:val="-2"/>
        </w:rPr>
        <w:t>запошљавања у</w:t>
      </w:r>
      <w:r>
        <w:rPr>
          <w:spacing w:val="-8"/>
        </w:rPr>
        <w:t> </w:t>
      </w:r>
      <w:r>
        <w:rPr>
          <w:spacing w:val="-2"/>
        </w:rPr>
        <w:t>ЕУ</w:t>
      </w:r>
      <w:r>
        <w:rPr>
          <w:spacing w:val="-6"/>
        </w:rPr>
        <w:t> </w:t>
      </w:r>
      <w:r>
        <w:rPr>
          <w:spacing w:val="-2"/>
        </w:rPr>
        <w:t>не</w:t>
      </w:r>
      <w:r>
        <w:rPr>
          <w:spacing w:val="-7"/>
        </w:rPr>
        <w:t> </w:t>
      </w:r>
      <w:r>
        <w:rPr>
          <w:spacing w:val="-2"/>
        </w:rPr>
        <w:t>постоји</w:t>
      </w:r>
      <w:r>
        <w:rPr>
          <w:spacing w:val="-5"/>
        </w:rPr>
        <w:t> </w:t>
      </w:r>
      <w:r>
        <w:rPr>
          <w:spacing w:val="-2"/>
        </w:rPr>
        <w:t>регулатива,</w:t>
      </w:r>
      <w:r>
        <w:rPr>
          <w:spacing w:val="-6"/>
        </w:rPr>
        <w:t> </w:t>
      </w:r>
      <w:r>
        <w:rPr>
          <w:spacing w:val="-2"/>
        </w:rPr>
        <w:t>поред</w:t>
      </w:r>
      <w:r>
        <w:rPr>
          <w:spacing w:val="-6"/>
        </w:rPr>
        <w:t> </w:t>
      </w:r>
      <w:r>
        <w:rPr>
          <w:spacing w:val="-2"/>
        </w:rPr>
        <w:t>поменутих </w:t>
      </w:r>
      <w:r>
        <w:rPr/>
        <w:t>Смерница за запошљавање, надлежна тела ЕУ издају препоруке и саопштења која су од важности за политику запошљавања држава чланица, од којих су најважнија:</w:t>
      </w:r>
    </w:p>
    <w:p>
      <w:pPr>
        <w:pStyle w:val="BodyText"/>
        <w:ind w:left="0"/>
        <w:jc w:val="left"/>
      </w:pPr>
    </w:p>
    <w:p>
      <w:pPr>
        <w:pStyle w:val="ListParagraph"/>
        <w:numPr>
          <w:ilvl w:val="0"/>
          <w:numId w:val="2"/>
        </w:numPr>
        <w:tabs>
          <w:tab w:pos="1071" w:val="left" w:leader="none"/>
          <w:tab w:pos="1073" w:val="left" w:leader="none"/>
        </w:tabs>
        <w:spacing w:line="240" w:lineRule="auto" w:before="0" w:after="0"/>
        <w:ind w:left="1073" w:right="717" w:hanging="356"/>
        <w:jc w:val="both"/>
        <w:rPr>
          <w:sz w:val="24"/>
        </w:rPr>
      </w:pPr>
      <w:r>
        <w:rPr>
          <w:b/>
          <w:sz w:val="24"/>
        </w:rPr>
        <w:t>Препорука о успостављању Гаранција за младе </w:t>
      </w:r>
      <w:r>
        <w:rPr>
          <w:sz w:val="24"/>
        </w:rPr>
        <w:t>– Савет ЕУ од 22. априла 2013. године, којом се подстиче успостављање система подршке у свим државама чланицама који ће омогућити да све особе млађе од 25 година добију квалитетну понуду</w:t>
      </w:r>
      <w:r>
        <w:rPr>
          <w:spacing w:val="-10"/>
          <w:sz w:val="24"/>
        </w:rPr>
        <w:t> </w:t>
      </w:r>
      <w:r>
        <w:rPr>
          <w:sz w:val="24"/>
        </w:rPr>
        <w:t>за</w:t>
      </w:r>
      <w:r>
        <w:rPr>
          <w:spacing w:val="-6"/>
          <w:sz w:val="24"/>
        </w:rPr>
        <w:t> </w:t>
      </w:r>
      <w:r>
        <w:rPr>
          <w:sz w:val="24"/>
        </w:rPr>
        <w:t>посао,</w:t>
      </w:r>
      <w:r>
        <w:rPr>
          <w:spacing w:val="-5"/>
          <w:sz w:val="24"/>
        </w:rPr>
        <w:t> </w:t>
      </w:r>
      <w:r>
        <w:rPr>
          <w:sz w:val="24"/>
        </w:rPr>
        <w:t>могућност</w:t>
      </w:r>
      <w:r>
        <w:rPr>
          <w:spacing w:val="-4"/>
          <w:sz w:val="24"/>
        </w:rPr>
        <w:t> </w:t>
      </w:r>
      <w:r>
        <w:rPr>
          <w:sz w:val="24"/>
        </w:rPr>
        <w:t>даљег</w:t>
      </w:r>
      <w:r>
        <w:rPr>
          <w:spacing w:val="-5"/>
          <w:sz w:val="24"/>
        </w:rPr>
        <w:t> </w:t>
      </w:r>
      <w:r>
        <w:rPr>
          <w:sz w:val="24"/>
        </w:rPr>
        <w:t>школовања,</w:t>
      </w:r>
      <w:r>
        <w:rPr>
          <w:spacing w:val="-5"/>
          <w:sz w:val="24"/>
        </w:rPr>
        <w:t> </w:t>
      </w:r>
      <w:r>
        <w:rPr>
          <w:sz w:val="24"/>
        </w:rPr>
        <w:t>праксу</w:t>
      </w:r>
      <w:r>
        <w:rPr>
          <w:spacing w:val="-12"/>
          <w:sz w:val="24"/>
        </w:rPr>
        <w:t> </w:t>
      </w:r>
      <w:r>
        <w:rPr>
          <w:sz w:val="24"/>
        </w:rPr>
        <w:t>или</w:t>
      </w:r>
      <w:r>
        <w:rPr>
          <w:spacing w:val="-4"/>
          <w:sz w:val="24"/>
        </w:rPr>
        <w:t> </w:t>
      </w:r>
      <w:r>
        <w:rPr>
          <w:sz w:val="24"/>
        </w:rPr>
        <w:t>приправништво</w:t>
      </w:r>
      <w:r>
        <w:rPr>
          <w:spacing w:val="-2"/>
          <w:sz w:val="24"/>
        </w:rPr>
        <w:t> </w:t>
      </w:r>
      <w:r>
        <w:rPr>
          <w:sz w:val="24"/>
        </w:rPr>
        <w:t>у</w:t>
      </w:r>
      <w:r>
        <w:rPr>
          <w:spacing w:val="-12"/>
          <w:sz w:val="24"/>
        </w:rPr>
        <w:t> </w:t>
      </w:r>
      <w:r>
        <w:rPr>
          <w:sz w:val="24"/>
        </w:rPr>
        <w:t>року</w:t>
      </w:r>
      <w:r>
        <w:rPr>
          <w:spacing w:val="-10"/>
          <w:sz w:val="24"/>
        </w:rPr>
        <w:t> </w:t>
      </w:r>
      <w:r>
        <w:rPr>
          <w:sz w:val="24"/>
        </w:rPr>
        <w:t>од четири месеца од губитка радног места или престанка формалног образовања. У фокусу</w:t>
      </w:r>
      <w:r>
        <w:rPr>
          <w:spacing w:val="-2"/>
          <w:sz w:val="24"/>
        </w:rPr>
        <w:t> </w:t>
      </w:r>
      <w:r>
        <w:rPr>
          <w:sz w:val="24"/>
        </w:rPr>
        <w:t>су</w:t>
      </w:r>
      <w:r>
        <w:rPr>
          <w:spacing w:val="-3"/>
          <w:sz w:val="24"/>
        </w:rPr>
        <w:t> </w:t>
      </w:r>
      <w:r>
        <w:rPr>
          <w:sz w:val="24"/>
        </w:rPr>
        <w:t>млади који нису</w:t>
      </w:r>
      <w:r>
        <w:rPr>
          <w:spacing w:val="-4"/>
          <w:sz w:val="24"/>
        </w:rPr>
        <w:t> </w:t>
      </w:r>
      <w:r>
        <w:rPr>
          <w:sz w:val="24"/>
        </w:rPr>
        <w:t>запослени, нити су у</w:t>
      </w:r>
      <w:r>
        <w:rPr>
          <w:spacing w:val="-2"/>
          <w:sz w:val="24"/>
        </w:rPr>
        <w:t> </w:t>
      </w:r>
      <w:r>
        <w:rPr>
          <w:sz w:val="24"/>
        </w:rPr>
        <w:t>образовању</w:t>
      </w:r>
      <w:r>
        <w:rPr>
          <w:spacing w:val="-4"/>
          <w:sz w:val="24"/>
        </w:rPr>
        <w:t> </w:t>
      </w:r>
      <w:r>
        <w:rPr>
          <w:sz w:val="24"/>
        </w:rPr>
        <w:t>или обуци (НЕЕТ – </w:t>
      </w:r>
      <w:r>
        <w:rPr>
          <w:i/>
          <w:sz w:val="24"/>
        </w:rPr>
        <w:t>not in employment, education or training</w:t>
      </w:r>
      <w:r>
        <w:rPr>
          <w:sz w:val="24"/>
        </w:rPr>
        <w:t>).</w:t>
      </w:r>
    </w:p>
    <w:p>
      <w:pPr>
        <w:pStyle w:val="ListParagraph"/>
        <w:numPr>
          <w:ilvl w:val="0"/>
          <w:numId w:val="2"/>
        </w:numPr>
        <w:tabs>
          <w:tab w:pos="1071" w:val="left" w:leader="none"/>
          <w:tab w:pos="1073" w:val="left" w:leader="none"/>
        </w:tabs>
        <w:spacing w:line="240" w:lineRule="auto" w:before="60" w:after="0"/>
        <w:ind w:left="1073" w:right="720" w:hanging="356"/>
        <w:jc w:val="both"/>
        <w:rPr>
          <w:sz w:val="24"/>
        </w:rPr>
      </w:pPr>
      <w:r>
        <w:rPr>
          <w:b/>
          <w:sz w:val="24"/>
        </w:rPr>
        <w:t>Препорука о Оквиру квалитета за радне праксе </w:t>
      </w:r>
      <w:r>
        <w:rPr>
          <w:sz w:val="24"/>
        </w:rPr>
        <w:t>– Савет ЕУ од 10. марта 2014. године, како би се омогућило полазницима праксе да стекну квалитетно радно искуство у сигурним и поштеним условима, и тиме повећају своје шансе за проналажење квалитетног посла.</w:t>
      </w:r>
    </w:p>
    <w:p>
      <w:pPr>
        <w:pStyle w:val="ListParagraph"/>
        <w:numPr>
          <w:ilvl w:val="0"/>
          <w:numId w:val="2"/>
        </w:numPr>
        <w:tabs>
          <w:tab w:pos="1071" w:val="left" w:leader="none"/>
          <w:tab w:pos="1073" w:val="left" w:leader="none"/>
        </w:tabs>
        <w:spacing w:line="240" w:lineRule="auto" w:before="61" w:after="0"/>
        <w:ind w:left="1073" w:right="716" w:hanging="356"/>
        <w:jc w:val="both"/>
        <w:rPr>
          <w:sz w:val="24"/>
        </w:rPr>
      </w:pPr>
      <w:r>
        <w:rPr>
          <w:b/>
          <w:sz w:val="24"/>
        </w:rPr>
        <w:t>Препорука о интегрисању дугорочно незапослених лица на тржиште рада </w:t>
      </w:r>
      <w:r>
        <w:rPr>
          <w:sz w:val="24"/>
        </w:rPr>
        <w:t>– Савет</w:t>
      </w:r>
      <w:r>
        <w:rPr>
          <w:spacing w:val="-8"/>
          <w:sz w:val="24"/>
        </w:rPr>
        <w:t> </w:t>
      </w:r>
      <w:r>
        <w:rPr>
          <w:sz w:val="24"/>
        </w:rPr>
        <w:t>ЕУ</w:t>
      </w:r>
      <w:r>
        <w:rPr>
          <w:spacing w:val="-8"/>
          <w:sz w:val="24"/>
        </w:rPr>
        <w:t> </w:t>
      </w:r>
      <w:r>
        <w:rPr>
          <w:sz w:val="24"/>
        </w:rPr>
        <w:t>од</w:t>
      </w:r>
      <w:r>
        <w:rPr>
          <w:spacing w:val="-8"/>
          <w:sz w:val="24"/>
        </w:rPr>
        <w:t> </w:t>
      </w:r>
      <w:r>
        <w:rPr>
          <w:sz w:val="24"/>
        </w:rPr>
        <w:t>15.</w:t>
      </w:r>
      <w:r>
        <w:rPr>
          <w:spacing w:val="-8"/>
          <w:sz w:val="24"/>
        </w:rPr>
        <w:t> </w:t>
      </w:r>
      <w:r>
        <w:rPr>
          <w:sz w:val="24"/>
        </w:rPr>
        <w:t>фебруара</w:t>
      </w:r>
      <w:r>
        <w:rPr>
          <w:spacing w:val="-9"/>
          <w:sz w:val="24"/>
        </w:rPr>
        <w:t> </w:t>
      </w:r>
      <w:r>
        <w:rPr>
          <w:sz w:val="24"/>
        </w:rPr>
        <w:t>2016.</w:t>
      </w:r>
      <w:r>
        <w:rPr>
          <w:spacing w:val="-8"/>
          <w:sz w:val="24"/>
        </w:rPr>
        <w:t> </w:t>
      </w:r>
      <w:r>
        <w:rPr>
          <w:sz w:val="24"/>
        </w:rPr>
        <w:t>године,</w:t>
      </w:r>
      <w:r>
        <w:rPr>
          <w:spacing w:val="-8"/>
          <w:sz w:val="24"/>
        </w:rPr>
        <w:t> </w:t>
      </w:r>
      <w:r>
        <w:rPr>
          <w:sz w:val="24"/>
        </w:rPr>
        <w:t>којом</w:t>
      </w:r>
      <w:r>
        <w:rPr>
          <w:spacing w:val="-8"/>
          <w:sz w:val="24"/>
        </w:rPr>
        <w:t> </w:t>
      </w:r>
      <w:r>
        <w:rPr>
          <w:sz w:val="24"/>
        </w:rPr>
        <w:t>се</w:t>
      </w:r>
      <w:r>
        <w:rPr>
          <w:spacing w:val="-9"/>
          <w:sz w:val="24"/>
        </w:rPr>
        <w:t> </w:t>
      </w:r>
      <w:r>
        <w:rPr>
          <w:sz w:val="24"/>
        </w:rPr>
        <w:t>настоји</w:t>
      </w:r>
      <w:r>
        <w:rPr>
          <w:spacing w:val="-7"/>
          <w:sz w:val="24"/>
        </w:rPr>
        <w:t> </w:t>
      </w:r>
      <w:r>
        <w:rPr>
          <w:sz w:val="24"/>
        </w:rPr>
        <w:t>да</w:t>
      </w:r>
      <w:r>
        <w:rPr>
          <w:spacing w:val="-9"/>
          <w:sz w:val="24"/>
        </w:rPr>
        <w:t> </w:t>
      </w:r>
      <w:r>
        <w:rPr>
          <w:sz w:val="24"/>
        </w:rPr>
        <w:t>се</w:t>
      </w:r>
      <w:r>
        <w:rPr>
          <w:spacing w:val="-9"/>
          <w:sz w:val="24"/>
        </w:rPr>
        <w:t> </w:t>
      </w:r>
      <w:r>
        <w:rPr>
          <w:sz w:val="24"/>
        </w:rPr>
        <w:t>повећа</w:t>
      </w:r>
      <w:r>
        <w:rPr>
          <w:spacing w:val="-9"/>
          <w:sz w:val="24"/>
        </w:rPr>
        <w:t> </w:t>
      </w:r>
      <w:r>
        <w:rPr>
          <w:sz w:val="24"/>
        </w:rPr>
        <w:t>стопа</w:t>
      </w:r>
      <w:r>
        <w:rPr>
          <w:spacing w:val="-9"/>
          <w:sz w:val="24"/>
        </w:rPr>
        <w:t> </w:t>
      </w:r>
      <w:r>
        <w:rPr>
          <w:sz w:val="24"/>
        </w:rPr>
        <w:t>преласка из дугорочне незапослености у запосленост, тако што ће се: повећати број регистрованих дугорочно незапослених особа којима је пружена активна подршка; осигурати квалитетна координација између релевантних институција које пружају услуге; као и повећати учинак интервенција намењених дугорочно незапосленим особама и послодавцима.</w:t>
      </w:r>
    </w:p>
    <w:p>
      <w:pPr>
        <w:pStyle w:val="ListParagraph"/>
        <w:numPr>
          <w:ilvl w:val="0"/>
          <w:numId w:val="2"/>
        </w:numPr>
        <w:tabs>
          <w:tab w:pos="1071" w:val="left" w:leader="none"/>
          <w:tab w:pos="1073" w:val="left" w:leader="none"/>
        </w:tabs>
        <w:spacing w:line="240" w:lineRule="auto" w:before="120" w:after="0"/>
        <w:ind w:left="1073" w:right="718" w:hanging="356"/>
        <w:jc w:val="both"/>
        <w:rPr>
          <w:sz w:val="24"/>
        </w:rPr>
      </w:pPr>
      <w:r>
        <w:rPr>
          <w:b/>
          <w:sz w:val="24"/>
        </w:rPr>
        <w:t>Подршка запошљавању младих: мост ка пословима за наредне генерације </w:t>
      </w:r>
      <w:r>
        <w:rPr>
          <w:sz w:val="24"/>
        </w:rPr>
        <w:t>(јул 2020.</w:t>
      </w:r>
      <w:r>
        <w:rPr>
          <w:spacing w:val="-7"/>
          <w:sz w:val="24"/>
        </w:rPr>
        <w:t> </w:t>
      </w:r>
      <w:r>
        <w:rPr>
          <w:sz w:val="24"/>
        </w:rPr>
        <w:t>године)</w:t>
      </w:r>
      <w:r>
        <w:rPr>
          <w:spacing w:val="-7"/>
          <w:sz w:val="24"/>
        </w:rPr>
        <w:t> </w:t>
      </w:r>
      <w:r>
        <w:rPr>
          <w:sz w:val="24"/>
        </w:rPr>
        <w:t>–</w:t>
      </w:r>
      <w:r>
        <w:rPr>
          <w:spacing w:val="-7"/>
          <w:sz w:val="24"/>
        </w:rPr>
        <w:t> </w:t>
      </w:r>
      <w:r>
        <w:rPr>
          <w:sz w:val="24"/>
        </w:rPr>
        <w:t>овај</w:t>
      </w:r>
      <w:r>
        <w:rPr>
          <w:spacing w:val="-6"/>
          <w:sz w:val="24"/>
        </w:rPr>
        <w:t> </w:t>
      </w:r>
      <w:r>
        <w:rPr>
          <w:sz w:val="24"/>
        </w:rPr>
        <w:t>комуникацијски</w:t>
      </w:r>
      <w:r>
        <w:rPr>
          <w:spacing w:val="-8"/>
          <w:sz w:val="24"/>
        </w:rPr>
        <w:t> </w:t>
      </w:r>
      <w:r>
        <w:rPr>
          <w:sz w:val="24"/>
        </w:rPr>
        <w:t>документ/пакет</w:t>
      </w:r>
      <w:r>
        <w:rPr>
          <w:spacing w:val="-6"/>
          <w:sz w:val="24"/>
        </w:rPr>
        <w:t> </w:t>
      </w:r>
      <w:r>
        <w:rPr>
          <w:sz w:val="24"/>
        </w:rPr>
        <w:t>обухвата</w:t>
      </w:r>
      <w:r>
        <w:rPr>
          <w:spacing w:val="-7"/>
          <w:sz w:val="24"/>
        </w:rPr>
        <w:t> </w:t>
      </w:r>
      <w:r>
        <w:rPr>
          <w:sz w:val="24"/>
        </w:rPr>
        <w:t>четири</w:t>
      </w:r>
      <w:r>
        <w:rPr>
          <w:spacing w:val="-6"/>
          <w:sz w:val="24"/>
        </w:rPr>
        <w:t> </w:t>
      </w:r>
      <w:r>
        <w:rPr>
          <w:sz w:val="24"/>
        </w:rPr>
        <w:t>кључна</w:t>
      </w:r>
      <w:r>
        <w:rPr>
          <w:spacing w:val="-8"/>
          <w:sz w:val="24"/>
        </w:rPr>
        <w:t> </w:t>
      </w:r>
      <w:r>
        <w:rPr>
          <w:sz w:val="24"/>
        </w:rPr>
        <w:t>стуба: унапређење програма Гаранције за младе, стручно образовање и обука, приправништво</w:t>
      </w:r>
      <w:r>
        <w:rPr>
          <w:spacing w:val="-11"/>
          <w:sz w:val="24"/>
        </w:rPr>
        <w:t> </w:t>
      </w:r>
      <w:r>
        <w:rPr>
          <w:sz w:val="24"/>
        </w:rPr>
        <w:t>и</w:t>
      </w:r>
      <w:r>
        <w:rPr>
          <w:spacing w:val="-8"/>
          <w:sz w:val="24"/>
        </w:rPr>
        <w:t> </w:t>
      </w:r>
      <w:r>
        <w:rPr>
          <w:sz w:val="24"/>
        </w:rPr>
        <w:t>додатне</w:t>
      </w:r>
      <w:r>
        <w:rPr>
          <w:spacing w:val="-10"/>
          <w:sz w:val="24"/>
        </w:rPr>
        <w:t> </w:t>
      </w:r>
      <w:r>
        <w:rPr>
          <w:sz w:val="24"/>
        </w:rPr>
        <w:t>мере</w:t>
      </w:r>
      <w:r>
        <w:rPr>
          <w:spacing w:val="-10"/>
          <w:sz w:val="24"/>
        </w:rPr>
        <w:t> </w:t>
      </w:r>
      <w:r>
        <w:rPr>
          <w:sz w:val="24"/>
        </w:rPr>
        <w:t>за</w:t>
      </w:r>
      <w:r>
        <w:rPr>
          <w:spacing w:val="-10"/>
          <w:sz w:val="24"/>
        </w:rPr>
        <w:t> </w:t>
      </w:r>
      <w:r>
        <w:rPr>
          <w:sz w:val="24"/>
        </w:rPr>
        <w:t>запошљавање</w:t>
      </w:r>
      <w:r>
        <w:rPr>
          <w:spacing w:val="-10"/>
          <w:sz w:val="24"/>
        </w:rPr>
        <w:t> </w:t>
      </w:r>
      <w:r>
        <w:rPr>
          <w:sz w:val="24"/>
        </w:rPr>
        <w:t>младих.</w:t>
      </w:r>
      <w:r>
        <w:rPr>
          <w:spacing w:val="-9"/>
          <w:sz w:val="24"/>
        </w:rPr>
        <w:t> </w:t>
      </w:r>
      <w:r>
        <w:rPr>
          <w:sz w:val="24"/>
        </w:rPr>
        <w:t>Мост</w:t>
      </w:r>
      <w:r>
        <w:rPr>
          <w:spacing w:val="-11"/>
          <w:sz w:val="24"/>
        </w:rPr>
        <w:t> </w:t>
      </w:r>
      <w:r>
        <w:rPr>
          <w:sz w:val="24"/>
        </w:rPr>
        <w:t>ка</w:t>
      </w:r>
      <w:r>
        <w:rPr>
          <w:spacing w:val="-10"/>
          <w:sz w:val="24"/>
        </w:rPr>
        <w:t> </w:t>
      </w:r>
      <w:r>
        <w:rPr>
          <w:sz w:val="24"/>
        </w:rPr>
        <w:t>пословима</w:t>
      </w:r>
      <w:r>
        <w:rPr>
          <w:spacing w:val="-10"/>
          <w:sz w:val="24"/>
        </w:rPr>
        <w:t> </w:t>
      </w:r>
      <w:r>
        <w:rPr>
          <w:sz w:val="24"/>
        </w:rPr>
        <w:t>ће</w:t>
      </w:r>
      <w:r>
        <w:rPr>
          <w:spacing w:val="-10"/>
          <w:sz w:val="24"/>
        </w:rPr>
        <w:t> </w:t>
      </w:r>
      <w:r>
        <w:rPr>
          <w:sz w:val="24"/>
        </w:rPr>
        <w:t>бити</w:t>
      </w:r>
    </w:p>
    <w:p>
      <w:pPr>
        <w:pStyle w:val="BodyText"/>
        <w:spacing w:before="6"/>
        <w:ind w:left="0"/>
        <w:jc w:val="left"/>
        <w:rPr>
          <w:sz w:val="18"/>
        </w:rPr>
      </w:pPr>
      <w:r>
        <w:rPr>
          <w:sz w:val="18"/>
        </w:rPr>
        <mc:AlternateContent>
          <mc:Choice Requires="wps">
            <w:drawing>
              <wp:anchor distT="0" distB="0" distL="0" distR="0" allowOverlap="1" layoutInCell="1" locked="0" behindDoc="1" simplePos="0" relativeHeight="487589376">
                <wp:simplePos x="0" y="0"/>
                <wp:positionH relativeFrom="page">
                  <wp:posOffset>914704</wp:posOffset>
                </wp:positionH>
                <wp:positionV relativeFrom="paragraph">
                  <wp:posOffset>150555</wp:posOffset>
                </wp:positionV>
                <wp:extent cx="1829435" cy="952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1.854795pt;width:144.020pt;height:.71997pt;mso-position-horizontal-relative:page;mso-position-vertical-relative:paragraph;z-index:-15727104;mso-wrap-distance-left:0;mso-wrap-distance-right:0" id="docshape5" filled="true" fillcolor="#000000" stroked="false">
                <v:fill type="solid"/>
                <w10:wrap type="topAndBottom"/>
              </v:rect>
            </w:pict>
          </mc:Fallback>
        </mc:AlternateContent>
      </w:r>
    </w:p>
    <w:p>
      <w:pPr>
        <w:spacing w:before="96"/>
        <w:ind w:left="360" w:right="0" w:firstLine="0"/>
        <w:jc w:val="left"/>
        <w:rPr>
          <w:sz w:val="20"/>
        </w:rPr>
      </w:pPr>
      <w:r>
        <w:rPr>
          <w:spacing w:val="-2"/>
          <w:sz w:val="20"/>
          <w:vertAlign w:val="superscript"/>
        </w:rPr>
        <w:t>3</w:t>
      </w:r>
      <w:r>
        <w:rPr>
          <w:spacing w:val="39"/>
          <w:sz w:val="20"/>
          <w:vertAlign w:val="baseline"/>
        </w:rPr>
        <w:t> </w:t>
      </w:r>
      <w:hyperlink r:id="rId7">
        <w:r>
          <w:rPr>
            <w:color w:val="0462C1"/>
            <w:spacing w:val="-2"/>
            <w:sz w:val="20"/>
            <w:u w:val="single" w:color="0462C1"/>
            <w:vertAlign w:val="baseline"/>
          </w:rPr>
          <w:t>https://eur-lex.europa.eu/legal-content/EN/TXT/?uri=CELEX%3A32020D1512</w:t>
        </w:r>
      </w:hyperlink>
    </w:p>
    <w:p>
      <w:pPr>
        <w:spacing w:after="0"/>
        <w:jc w:val="left"/>
        <w:rPr>
          <w:sz w:val="20"/>
        </w:rPr>
        <w:sectPr>
          <w:pgSz w:w="12240" w:h="15840"/>
          <w:pgMar w:header="0" w:footer="702" w:top="1360" w:bottom="900" w:left="1080" w:right="720"/>
        </w:sectPr>
      </w:pPr>
    </w:p>
    <w:p>
      <w:pPr>
        <w:pStyle w:val="BodyText"/>
        <w:spacing w:before="72"/>
        <w:ind w:left="1073" w:right="717"/>
      </w:pPr>
      <w:r>
        <w:rPr/>
        <w:t>инклузивнији како би се избегле било какве форме дискриминације, са бољим досезањем до оних младих који су рањивији, као што су млади припадници националних мањина или других раса, младе ОСИ, млади у руралним срединама и сл. и повећаном старосном границом, укључујући лица од 15 до 29 година. Овај програм подршке треба да повеже потребе компанија, кроз обезбеђивање тражених вештина</w:t>
      </w:r>
      <w:r>
        <w:rPr>
          <w:spacing w:val="-10"/>
        </w:rPr>
        <w:t> </w:t>
      </w:r>
      <w:r>
        <w:rPr/>
        <w:t>–</w:t>
      </w:r>
      <w:r>
        <w:rPr>
          <w:spacing w:val="-10"/>
        </w:rPr>
        <w:t> </w:t>
      </w:r>
      <w:r>
        <w:rPr/>
        <w:t>посебно</w:t>
      </w:r>
      <w:r>
        <w:rPr>
          <w:spacing w:val="-10"/>
        </w:rPr>
        <w:t> </w:t>
      </w:r>
      <w:r>
        <w:rPr/>
        <w:t>зелених</w:t>
      </w:r>
      <w:r>
        <w:rPr>
          <w:spacing w:val="-8"/>
        </w:rPr>
        <w:t> </w:t>
      </w:r>
      <w:r>
        <w:rPr/>
        <w:t>и</w:t>
      </w:r>
      <w:r>
        <w:rPr>
          <w:spacing w:val="-9"/>
        </w:rPr>
        <w:t> </w:t>
      </w:r>
      <w:r>
        <w:rPr/>
        <w:t>ИТ</w:t>
      </w:r>
      <w:r>
        <w:rPr>
          <w:spacing w:val="-10"/>
        </w:rPr>
        <w:t> </w:t>
      </w:r>
      <w:r>
        <w:rPr/>
        <w:t>вештина</w:t>
      </w:r>
      <w:r>
        <w:rPr>
          <w:spacing w:val="-10"/>
        </w:rPr>
        <w:t> </w:t>
      </w:r>
      <w:r>
        <w:rPr/>
        <w:t>кроз</w:t>
      </w:r>
      <w:r>
        <w:rPr>
          <w:spacing w:val="-11"/>
        </w:rPr>
        <w:t> </w:t>
      </w:r>
      <w:r>
        <w:rPr/>
        <w:t>кратке</w:t>
      </w:r>
      <w:r>
        <w:rPr>
          <w:spacing w:val="-11"/>
        </w:rPr>
        <w:t> </w:t>
      </w:r>
      <w:r>
        <w:rPr/>
        <w:t>припремне</w:t>
      </w:r>
      <w:r>
        <w:rPr>
          <w:spacing w:val="-11"/>
        </w:rPr>
        <w:t> </w:t>
      </w:r>
      <w:r>
        <w:rPr/>
        <w:t>обуке,</w:t>
      </w:r>
      <w:r>
        <w:rPr>
          <w:spacing w:val="-10"/>
        </w:rPr>
        <w:t> </w:t>
      </w:r>
      <w:r>
        <w:rPr/>
        <w:t>које</w:t>
      </w:r>
      <w:r>
        <w:rPr>
          <w:spacing w:val="-10"/>
        </w:rPr>
        <w:t> </w:t>
      </w:r>
      <w:r>
        <w:rPr/>
        <w:t>ће</w:t>
      </w:r>
      <w:r>
        <w:rPr>
          <w:spacing w:val="-11"/>
        </w:rPr>
        <w:t> </w:t>
      </w:r>
      <w:r>
        <w:rPr/>
        <w:t>бити праћене саветовањем, вођењем и праћењем.</w:t>
      </w:r>
    </w:p>
    <w:p>
      <w:pPr>
        <w:pStyle w:val="ListParagraph"/>
        <w:numPr>
          <w:ilvl w:val="0"/>
          <w:numId w:val="2"/>
        </w:numPr>
        <w:tabs>
          <w:tab w:pos="1071" w:val="left" w:leader="none"/>
          <w:tab w:pos="1073" w:val="left" w:leader="none"/>
        </w:tabs>
        <w:spacing w:line="240" w:lineRule="auto" w:before="125" w:after="0"/>
        <w:ind w:left="1073" w:right="718" w:hanging="356"/>
        <w:jc w:val="both"/>
        <w:rPr>
          <w:sz w:val="24"/>
        </w:rPr>
      </w:pPr>
      <w:r>
        <w:rPr>
          <w:b/>
          <w:sz w:val="24"/>
        </w:rPr>
        <w:t>Европски</w:t>
      </w:r>
      <w:r>
        <w:rPr>
          <w:b/>
          <w:spacing w:val="-4"/>
          <w:sz w:val="24"/>
        </w:rPr>
        <w:t> </w:t>
      </w:r>
      <w:r>
        <w:rPr>
          <w:b/>
          <w:sz w:val="24"/>
        </w:rPr>
        <w:t>програм</w:t>
      </w:r>
      <w:r>
        <w:rPr>
          <w:b/>
          <w:spacing w:val="-5"/>
          <w:sz w:val="24"/>
        </w:rPr>
        <w:t> </w:t>
      </w:r>
      <w:r>
        <w:rPr>
          <w:b/>
          <w:sz w:val="24"/>
        </w:rPr>
        <w:t>вештина</w:t>
      </w:r>
      <w:r>
        <w:rPr>
          <w:b/>
          <w:spacing w:val="-4"/>
          <w:sz w:val="24"/>
        </w:rPr>
        <w:t> </w:t>
      </w:r>
      <w:r>
        <w:rPr>
          <w:b/>
          <w:sz w:val="24"/>
        </w:rPr>
        <w:t>за</w:t>
      </w:r>
      <w:r>
        <w:rPr>
          <w:b/>
          <w:spacing w:val="-4"/>
          <w:sz w:val="24"/>
        </w:rPr>
        <w:t> </w:t>
      </w:r>
      <w:r>
        <w:rPr>
          <w:b/>
          <w:sz w:val="24"/>
        </w:rPr>
        <w:t>одрживу</w:t>
      </w:r>
      <w:r>
        <w:rPr>
          <w:b/>
          <w:spacing w:val="-1"/>
          <w:sz w:val="24"/>
        </w:rPr>
        <w:t> </w:t>
      </w:r>
      <w:r>
        <w:rPr>
          <w:b/>
          <w:sz w:val="24"/>
        </w:rPr>
        <w:t>конкурентност,</w:t>
      </w:r>
      <w:r>
        <w:rPr>
          <w:b/>
          <w:spacing w:val="-7"/>
          <w:sz w:val="24"/>
        </w:rPr>
        <w:t> </w:t>
      </w:r>
      <w:r>
        <w:rPr>
          <w:b/>
          <w:sz w:val="24"/>
        </w:rPr>
        <w:t>друштвену</w:t>
      </w:r>
      <w:r>
        <w:rPr>
          <w:b/>
          <w:spacing w:val="-4"/>
          <w:sz w:val="24"/>
        </w:rPr>
        <w:t> </w:t>
      </w:r>
      <w:r>
        <w:rPr>
          <w:b/>
          <w:sz w:val="24"/>
        </w:rPr>
        <w:t>једнакост</w:t>
      </w:r>
      <w:r>
        <w:rPr>
          <w:b/>
          <w:spacing w:val="-3"/>
          <w:sz w:val="24"/>
        </w:rPr>
        <w:t> </w:t>
      </w:r>
      <w:r>
        <w:rPr>
          <w:b/>
          <w:sz w:val="24"/>
        </w:rPr>
        <w:t>и отпорност </w:t>
      </w:r>
      <w:r>
        <w:rPr>
          <w:sz w:val="24"/>
        </w:rPr>
        <w:t>(јул 2020. године) – представља амбициозне, квантитативне циљеве за усавршавање и преквалификацију који ће се постићи у наредних пет година. Усмерен</w:t>
      </w:r>
      <w:r>
        <w:rPr>
          <w:spacing w:val="-8"/>
          <w:sz w:val="24"/>
        </w:rPr>
        <w:t> </w:t>
      </w:r>
      <w:r>
        <w:rPr>
          <w:sz w:val="24"/>
        </w:rPr>
        <w:t>је</w:t>
      </w:r>
      <w:r>
        <w:rPr>
          <w:spacing w:val="-10"/>
          <w:sz w:val="24"/>
        </w:rPr>
        <w:t> </w:t>
      </w:r>
      <w:r>
        <w:rPr>
          <w:sz w:val="24"/>
        </w:rPr>
        <w:t>на</w:t>
      </w:r>
      <w:r>
        <w:rPr>
          <w:spacing w:val="-8"/>
          <w:sz w:val="24"/>
        </w:rPr>
        <w:t> </w:t>
      </w:r>
      <w:r>
        <w:rPr>
          <w:sz w:val="24"/>
        </w:rPr>
        <w:t>унапређење</w:t>
      </w:r>
      <w:r>
        <w:rPr>
          <w:spacing w:val="-10"/>
          <w:sz w:val="24"/>
        </w:rPr>
        <w:t> </w:t>
      </w:r>
      <w:r>
        <w:rPr>
          <w:sz w:val="24"/>
        </w:rPr>
        <w:t>вештина,</w:t>
      </w:r>
      <w:r>
        <w:rPr>
          <w:spacing w:val="-7"/>
          <w:sz w:val="24"/>
        </w:rPr>
        <w:t> </w:t>
      </w:r>
      <w:r>
        <w:rPr>
          <w:sz w:val="24"/>
        </w:rPr>
        <w:t>у</w:t>
      </w:r>
      <w:r>
        <w:rPr>
          <w:spacing w:val="-14"/>
          <w:sz w:val="24"/>
        </w:rPr>
        <w:t> </w:t>
      </w:r>
      <w:r>
        <w:rPr>
          <w:sz w:val="24"/>
        </w:rPr>
        <w:t>сарадњи</w:t>
      </w:r>
      <w:r>
        <w:rPr>
          <w:spacing w:val="-9"/>
          <w:sz w:val="24"/>
        </w:rPr>
        <w:t> </w:t>
      </w:r>
      <w:r>
        <w:rPr>
          <w:sz w:val="24"/>
        </w:rPr>
        <w:t>са</w:t>
      </w:r>
      <w:r>
        <w:rPr>
          <w:spacing w:val="-10"/>
          <w:sz w:val="24"/>
        </w:rPr>
        <w:t> </w:t>
      </w:r>
      <w:r>
        <w:rPr>
          <w:sz w:val="24"/>
        </w:rPr>
        <w:t>државама</w:t>
      </w:r>
      <w:r>
        <w:rPr>
          <w:spacing w:val="-10"/>
          <w:sz w:val="24"/>
        </w:rPr>
        <w:t> </w:t>
      </w:r>
      <w:r>
        <w:rPr>
          <w:sz w:val="24"/>
        </w:rPr>
        <w:t>чланицама,</w:t>
      </w:r>
      <w:r>
        <w:rPr>
          <w:spacing w:val="-9"/>
          <w:sz w:val="24"/>
        </w:rPr>
        <w:t> </w:t>
      </w:r>
      <w:r>
        <w:rPr>
          <w:sz w:val="24"/>
        </w:rPr>
        <w:t>компанијама и социјалним партнерима, као и на охрабривање грађана да се укључе у процес целоживотног учења.</w:t>
      </w:r>
    </w:p>
    <w:p>
      <w:pPr>
        <w:pStyle w:val="BodyText"/>
        <w:spacing w:before="121"/>
        <w:ind w:left="0"/>
        <w:jc w:val="left"/>
      </w:pPr>
    </w:p>
    <w:p>
      <w:pPr>
        <w:pStyle w:val="Heading2"/>
        <w:spacing w:line="274" w:lineRule="exact"/>
        <w:ind w:left="718"/>
        <w:jc w:val="both"/>
      </w:pPr>
      <w:r>
        <w:rPr/>
        <w:t>Придруживање</w:t>
      </w:r>
      <w:r>
        <w:rPr>
          <w:spacing w:val="-4"/>
        </w:rPr>
        <w:t> </w:t>
      </w:r>
      <w:r>
        <w:rPr/>
        <w:t>Републике</w:t>
      </w:r>
      <w:r>
        <w:rPr>
          <w:spacing w:val="-6"/>
        </w:rPr>
        <w:t> </w:t>
      </w:r>
      <w:r>
        <w:rPr/>
        <w:t>Србије</w:t>
      </w:r>
      <w:r>
        <w:rPr>
          <w:spacing w:val="-6"/>
        </w:rPr>
        <w:t> </w:t>
      </w:r>
      <w:r>
        <w:rPr/>
        <w:t>Европској</w:t>
      </w:r>
      <w:r>
        <w:rPr>
          <w:spacing w:val="-4"/>
        </w:rPr>
        <w:t> </w:t>
      </w:r>
      <w:r>
        <w:rPr>
          <w:spacing w:val="-2"/>
        </w:rPr>
        <w:t>унији</w:t>
      </w:r>
    </w:p>
    <w:p>
      <w:pPr>
        <w:pStyle w:val="BodyText"/>
        <w:ind w:right="725" w:firstLine="719"/>
      </w:pPr>
      <w:r>
        <w:rPr/>
        <w:t>Република Србија је у статусу кандидата, односно налази се у процесу преговора о приступању</w:t>
      </w:r>
      <w:r>
        <w:rPr>
          <w:spacing w:val="-15"/>
        </w:rPr>
        <w:t> </w:t>
      </w:r>
      <w:r>
        <w:rPr/>
        <w:t>ЕУ,</w:t>
      </w:r>
      <w:r>
        <w:rPr>
          <w:spacing w:val="-14"/>
        </w:rPr>
        <w:t> </w:t>
      </w:r>
      <w:r>
        <w:rPr/>
        <w:t>па</w:t>
      </w:r>
      <w:r>
        <w:rPr>
          <w:spacing w:val="-13"/>
        </w:rPr>
        <w:t> </w:t>
      </w:r>
      <w:r>
        <w:rPr/>
        <w:t>је</w:t>
      </w:r>
      <w:r>
        <w:rPr>
          <w:spacing w:val="-15"/>
        </w:rPr>
        <w:t> </w:t>
      </w:r>
      <w:r>
        <w:rPr/>
        <w:t>даље</w:t>
      </w:r>
      <w:r>
        <w:rPr>
          <w:spacing w:val="-10"/>
        </w:rPr>
        <w:t> </w:t>
      </w:r>
      <w:r>
        <w:rPr/>
        <w:t>унапређење</w:t>
      </w:r>
      <w:r>
        <w:rPr>
          <w:spacing w:val="-13"/>
        </w:rPr>
        <w:t> </w:t>
      </w:r>
      <w:r>
        <w:rPr/>
        <w:t>политике</w:t>
      </w:r>
      <w:r>
        <w:rPr>
          <w:spacing w:val="-15"/>
        </w:rPr>
        <w:t> </w:t>
      </w:r>
      <w:r>
        <w:rPr/>
        <w:t>запошљавања</w:t>
      </w:r>
      <w:r>
        <w:rPr>
          <w:spacing w:val="-8"/>
        </w:rPr>
        <w:t> </w:t>
      </w:r>
      <w:r>
        <w:rPr/>
        <w:t>условљено</w:t>
      </w:r>
      <w:r>
        <w:rPr>
          <w:spacing w:val="-14"/>
        </w:rPr>
        <w:t> </w:t>
      </w:r>
      <w:r>
        <w:rPr/>
        <w:t>развојем</w:t>
      </w:r>
      <w:r>
        <w:rPr>
          <w:spacing w:val="-15"/>
        </w:rPr>
        <w:t> </w:t>
      </w:r>
      <w:r>
        <w:rPr/>
        <w:t>општег европског оквира политике запошљавања.</w:t>
      </w:r>
    </w:p>
    <w:p>
      <w:pPr>
        <w:pStyle w:val="BodyText"/>
        <w:spacing w:before="273"/>
        <w:ind w:right="717" w:firstLine="719"/>
      </w:pPr>
      <w:r>
        <w:rPr>
          <w:b/>
        </w:rPr>
        <w:t>Акциони</w:t>
      </w:r>
      <w:r>
        <w:rPr>
          <w:b/>
          <w:spacing w:val="-15"/>
        </w:rPr>
        <w:t> </w:t>
      </w:r>
      <w:r>
        <w:rPr>
          <w:b/>
        </w:rPr>
        <w:t>план</w:t>
      </w:r>
      <w:r>
        <w:rPr>
          <w:b/>
          <w:spacing w:val="-14"/>
        </w:rPr>
        <w:t> </w:t>
      </w:r>
      <w:r>
        <w:rPr>
          <w:b/>
        </w:rPr>
        <w:t>за</w:t>
      </w:r>
      <w:r>
        <w:rPr>
          <w:b/>
          <w:spacing w:val="-15"/>
        </w:rPr>
        <w:t> </w:t>
      </w:r>
      <w:r>
        <w:rPr>
          <w:b/>
        </w:rPr>
        <w:t>Поглавље</w:t>
      </w:r>
      <w:r>
        <w:rPr>
          <w:b/>
          <w:spacing w:val="-15"/>
        </w:rPr>
        <w:t> </w:t>
      </w:r>
      <w:r>
        <w:rPr>
          <w:b/>
        </w:rPr>
        <w:t>19</w:t>
      </w:r>
      <w:r>
        <w:rPr>
          <w:b/>
          <w:spacing w:val="-13"/>
        </w:rPr>
        <w:t> </w:t>
      </w:r>
      <w:r>
        <w:rPr>
          <w:b/>
        </w:rPr>
        <w:t>–</w:t>
      </w:r>
      <w:r>
        <w:rPr>
          <w:b/>
          <w:spacing w:val="-15"/>
        </w:rPr>
        <w:t> </w:t>
      </w:r>
      <w:r>
        <w:rPr>
          <w:b/>
        </w:rPr>
        <w:t>Социјална</w:t>
      </w:r>
      <w:r>
        <w:rPr>
          <w:b/>
          <w:spacing w:val="-15"/>
        </w:rPr>
        <w:t> </w:t>
      </w:r>
      <w:r>
        <w:rPr>
          <w:b/>
        </w:rPr>
        <w:t>политика</w:t>
      </w:r>
      <w:r>
        <w:rPr>
          <w:b/>
          <w:spacing w:val="-15"/>
        </w:rPr>
        <w:t> </w:t>
      </w:r>
      <w:r>
        <w:rPr>
          <w:b/>
        </w:rPr>
        <w:t>и</w:t>
      </w:r>
      <w:r>
        <w:rPr>
          <w:b/>
          <w:spacing w:val="-13"/>
        </w:rPr>
        <w:t> </w:t>
      </w:r>
      <w:r>
        <w:rPr>
          <w:b/>
        </w:rPr>
        <w:t>запошљавање</w:t>
      </w:r>
      <w:r>
        <w:rPr>
          <w:b/>
          <w:spacing w:val="-12"/>
        </w:rPr>
        <w:t> </w:t>
      </w:r>
      <w:r>
        <w:rPr/>
        <w:t>усаглашен је</w:t>
      </w:r>
      <w:r>
        <w:rPr>
          <w:spacing w:val="-15"/>
        </w:rPr>
        <w:t> </w:t>
      </w:r>
      <w:r>
        <w:rPr/>
        <w:t>са</w:t>
      </w:r>
      <w:r>
        <w:rPr>
          <w:spacing w:val="-15"/>
        </w:rPr>
        <w:t> </w:t>
      </w:r>
      <w:r>
        <w:rPr/>
        <w:t>Европском</w:t>
      </w:r>
      <w:r>
        <w:rPr>
          <w:spacing w:val="-15"/>
        </w:rPr>
        <w:t> </w:t>
      </w:r>
      <w:r>
        <w:rPr/>
        <w:t>комисијом</w:t>
      </w:r>
      <w:r>
        <w:rPr>
          <w:spacing w:val="-15"/>
        </w:rPr>
        <w:t> </w:t>
      </w:r>
      <w:r>
        <w:rPr/>
        <w:t>и</w:t>
      </w:r>
      <w:r>
        <w:rPr>
          <w:spacing w:val="-14"/>
        </w:rPr>
        <w:t> </w:t>
      </w:r>
      <w:r>
        <w:rPr/>
        <w:t>усвојен</w:t>
      </w:r>
      <w:r>
        <w:rPr>
          <w:spacing w:val="-14"/>
        </w:rPr>
        <w:t> </w:t>
      </w:r>
      <w:r>
        <w:rPr/>
        <w:t>од</w:t>
      </w:r>
      <w:r>
        <w:rPr>
          <w:spacing w:val="-12"/>
        </w:rPr>
        <w:t> </w:t>
      </w:r>
      <w:r>
        <w:rPr/>
        <w:t>стране</w:t>
      </w:r>
      <w:r>
        <w:rPr>
          <w:spacing w:val="-13"/>
        </w:rPr>
        <w:t> </w:t>
      </w:r>
      <w:r>
        <w:rPr/>
        <w:t>Владе</w:t>
      </w:r>
      <w:r>
        <w:rPr>
          <w:spacing w:val="-13"/>
        </w:rPr>
        <w:t> </w:t>
      </w:r>
      <w:r>
        <w:rPr/>
        <w:t>Републике</w:t>
      </w:r>
      <w:r>
        <w:rPr>
          <w:spacing w:val="-15"/>
        </w:rPr>
        <w:t> </w:t>
      </w:r>
      <w:r>
        <w:rPr/>
        <w:t>Србије</w:t>
      </w:r>
      <w:r>
        <w:rPr>
          <w:spacing w:val="-10"/>
        </w:rPr>
        <w:t> </w:t>
      </w:r>
      <w:r>
        <w:rPr/>
        <w:t>у</w:t>
      </w:r>
      <w:r>
        <w:rPr>
          <w:spacing w:val="-15"/>
        </w:rPr>
        <w:t> </w:t>
      </w:r>
      <w:r>
        <w:rPr/>
        <w:t>мају</w:t>
      </w:r>
      <w:r>
        <w:rPr>
          <w:spacing w:val="-15"/>
        </w:rPr>
        <w:t> </w:t>
      </w:r>
      <w:r>
        <w:rPr/>
        <w:t>2020.</w:t>
      </w:r>
      <w:r>
        <w:rPr>
          <w:spacing w:val="-14"/>
        </w:rPr>
        <w:t> </w:t>
      </w:r>
      <w:r>
        <w:rPr/>
        <w:t>године. Овај документ представља оквир за постепено транспоновање правних тековина ЕУ у законодавство</w:t>
      </w:r>
      <w:r>
        <w:rPr>
          <w:spacing w:val="-13"/>
        </w:rPr>
        <w:t> </w:t>
      </w:r>
      <w:r>
        <w:rPr/>
        <w:t>Србије</w:t>
      </w:r>
      <w:r>
        <w:rPr>
          <w:spacing w:val="-11"/>
        </w:rPr>
        <w:t> </w:t>
      </w:r>
      <w:r>
        <w:rPr/>
        <w:t>и</w:t>
      </w:r>
      <w:r>
        <w:rPr>
          <w:spacing w:val="-12"/>
        </w:rPr>
        <w:t> </w:t>
      </w:r>
      <w:r>
        <w:rPr/>
        <w:t>креирања</w:t>
      </w:r>
      <w:r>
        <w:rPr>
          <w:spacing w:val="-12"/>
        </w:rPr>
        <w:t> </w:t>
      </w:r>
      <w:r>
        <w:rPr/>
        <w:t>неопходних</w:t>
      </w:r>
      <w:r>
        <w:rPr>
          <w:spacing w:val="-11"/>
        </w:rPr>
        <w:t> </w:t>
      </w:r>
      <w:r>
        <w:rPr/>
        <w:t>капацитета</w:t>
      </w:r>
      <w:r>
        <w:rPr>
          <w:spacing w:val="-14"/>
        </w:rPr>
        <w:t> </w:t>
      </w:r>
      <w:r>
        <w:rPr/>
        <w:t>за</w:t>
      </w:r>
      <w:r>
        <w:rPr>
          <w:spacing w:val="-12"/>
        </w:rPr>
        <w:t> </w:t>
      </w:r>
      <w:r>
        <w:rPr/>
        <w:t>њихову</w:t>
      </w:r>
      <w:r>
        <w:rPr>
          <w:spacing w:val="-13"/>
        </w:rPr>
        <w:t> </w:t>
      </w:r>
      <w:r>
        <w:rPr/>
        <w:t>примену</w:t>
      </w:r>
      <w:r>
        <w:rPr>
          <w:spacing w:val="-15"/>
        </w:rPr>
        <w:t> </w:t>
      </w:r>
      <w:r>
        <w:rPr/>
        <w:t>и</w:t>
      </w:r>
      <w:r>
        <w:rPr>
          <w:spacing w:val="-10"/>
        </w:rPr>
        <w:t> </w:t>
      </w:r>
      <w:r>
        <w:rPr/>
        <w:t>спровођење у свим областима које су обухваћене поглављем о социјалној политици и запошљавању.</w:t>
      </w:r>
    </w:p>
    <w:p>
      <w:pPr>
        <w:pStyle w:val="BodyText"/>
        <w:spacing w:before="1"/>
        <w:ind w:left="0"/>
        <w:jc w:val="left"/>
      </w:pPr>
    </w:p>
    <w:p>
      <w:pPr>
        <w:pStyle w:val="BodyText"/>
        <w:ind w:right="716" w:firstLine="719"/>
      </w:pPr>
      <w:r>
        <w:rPr>
          <w:b/>
        </w:rPr>
        <w:t>Поглавље</w:t>
      </w:r>
      <w:r>
        <w:rPr>
          <w:b/>
          <w:spacing w:val="-9"/>
        </w:rPr>
        <w:t> </w:t>
      </w:r>
      <w:r>
        <w:rPr>
          <w:b/>
        </w:rPr>
        <w:t>2</w:t>
      </w:r>
      <w:r>
        <w:rPr>
          <w:b/>
          <w:spacing w:val="-8"/>
        </w:rPr>
        <w:t> </w:t>
      </w:r>
      <w:r>
        <w:rPr>
          <w:b/>
        </w:rPr>
        <w:t>–</w:t>
      </w:r>
      <w:r>
        <w:rPr>
          <w:b/>
          <w:spacing w:val="-8"/>
        </w:rPr>
        <w:t> </w:t>
      </w:r>
      <w:r>
        <w:rPr>
          <w:b/>
        </w:rPr>
        <w:t>Слобода</w:t>
      </w:r>
      <w:r>
        <w:rPr>
          <w:b/>
          <w:spacing w:val="-8"/>
        </w:rPr>
        <w:t> </w:t>
      </w:r>
      <w:r>
        <w:rPr>
          <w:b/>
        </w:rPr>
        <w:t>кретања</w:t>
      </w:r>
      <w:r>
        <w:rPr>
          <w:b/>
          <w:spacing w:val="-11"/>
        </w:rPr>
        <w:t> </w:t>
      </w:r>
      <w:r>
        <w:rPr>
          <w:b/>
        </w:rPr>
        <w:t>радника</w:t>
      </w:r>
      <w:r>
        <w:rPr>
          <w:b/>
          <w:spacing w:val="-6"/>
        </w:rPr>
        <w:t> </w:t>
      </w:r>
      <w:r>
        <w:rPr/>
        <w:t>сврстава</w:t>
      </w:r>
      <w:r>
        <w:rPr>
          <w:spacing w:val="-9"/>
        </w:rPr>
        <w:t> </w:t>
      </w:r>
      <w:r>
        <w:rPr/>
        <w:t>се</w:t>
      </w:r>
      <w:r>
        <w:rPr>
          <w:spacing w:val="-9"/>
        </w:rPr>
        <w:t> </w:t>
      </w:r>
      <w:r>
        <w:rPr/>
        <w:t>међу</w:t>
      </w:r>
      <w:r>
        <w:rPr>
          <w:spacing w:val="-12"/>
        </w:rPr>
        <w:t> </w:t>
      </w:r>
      <w:r>
        <w:rPr/>
        <w:t>темељне</w:t>
      </w:r>
      <w:r>
        <w:rPr>
          <w:spacing w:val="-9"/>
        </w:rPr>
        <w:t> </w:t>
      </w:r>
      <w:r>
        <w:rPr/>
        <w:t>принципе</w:t>
      </w:r>
      <w:r>
        <w:rPr>
          <w:spacing w:val="-9"/>
        </w:rPr>
        <w:t> </w:t>
      </w:r>
      <w:r>
        <w:rPr/>
        <w:t>ЕУ</w:t>
      </w:r>
      <w:r>
        <w:rPr>
          <w:spacing w:val="-12"/>
        </w:rPr>
        <w:t> </w:t>
      </w:r>
      <w:r>
        <w:rPr/>
        <w:t>и једна је од четири слободе унутрашњег тржишта. С обзиром да обухвата подобласти: приступ тржишту рада, EURES, координацију система социјалне сигурности и Европску картицу здравственог осигурања, отварање Преговарачког поглавља и ток преговора утицаће на даље нормативно и институционално усаглашавање са тековинама ЕУ.</w:t>
      </w:r>
    </w:p>
    <w:p>
      <w:pPr>
        <w:pStyle w:val="BodyText"/>
        <w:spacing w:before="164"/>
        <w:ind w:left="0"/>
        <w:jc w:val="left"/>
      </w:pPr>
    </w:p>
    <w:p>
      <w:pPr>
        <w:pStyle w:val="Heading1"/>
        <w:numPr>
          <w:ilvl w:val="0"/>
          <w:numId w:val="1"/>
        </w:numPr>
        <w:tabs>
          <w:tab w:pos="3495" w:val="left" w:leader="none"/>
        </w:tabs>
        <w:spacing w:line="240" w:lineRule="auto" w:before="0" w:after="0"/>
        <w:ind w:left="3495" w:right="0" w:hanging="360"/>
        <w:jc w:val="left"/>
      </w:pPr>
      <w:r>
        <w:rPr/>
        <w:t>ОПИС</w:t>
      </w:r>
      <w:r>
        <w:rPr>
          <w:spacing w:val="-4"/>
        </w:rPr>
        <w:t> </w:t>
      </w:r>
      <w:r>
        <w:rPr/>
        <w:t>ПОСТОЈЕЋЕГ</w:t>
      </w:r>
      <w:r>
        <w:rPr>
          <w:spacing w:val="-3"/>
        </w:rPr>
        <w:t> </w:t>
      </w:r>
      <w:r>
        <w:rPr>
          <w:spacing w:val="-2"/>
        </w:rPr>
        <w:t>СТАЊА</w:t>
      </w:r>
    </w:p>
    <w:p>
      <w:pPr>
        <w:pStyle w:val="BodyText"/>
        <w:spacing w:before="29"/>
        <w:ind w:left="0"/>
        <w:jc w:val="left"/>
        <w:rPr>
          <w:b/>
        </w:rPr>
      </w:pPr>
    </w:p>
    <w:p>
      <w:pPr>
        <w:pStyle w:val="Heading2"/>
        <w:numPr>
          <w:ilvl w:val="1"/>
          <w:numId w:val="1"/>
        </w:numPr>
        <w:tabs>
          <w:tab w:pos="1154" w:val="left" w:leader="none"/>
        </w:tabs>
        <w:spacing w:line="240" w:lineRule="auto" w:before="0" w:after="0"/>
        <w:ind w:left="1154" w:right="0" w:hanging="434"/>
        <w:jc w:val="left"/>
      </w:pPr>
      <w:r>
        <w:rPr/>
        <w:t>Преглед</w:t>
      </w:r>
      <w:r>
        <w:rPr>
          <w:spacing w:val="-5"/>
        </w:rPr>
        <w:t> </w:t>
      </w:r>
      <w:r>
        <w:rPr/>
        <w:t>и</w:t>
      </w:r>
      <w:r>
        <w:rPr>
          <w:spacing w:val="-3"/>
        </w:rPr>
        <w:t> </w:t>
      </w:r>
      <w:r>
        <w:rPr/>
        <w:t>анализа</w:t>
      </w:r>
      <w:r>
        <w:rPr>
          <w:spacing w:val="-3"/>
        </w:rPr>
        <w:t> </w:t>
      </w:r>
      <w:r>
        <w:rPr/>
        <w:t>постојећег</w:t>
      </w:r>
      <w:r>
        <w:rPr>
          <w:spacing w:val="-3"/>
        </w:rPr>
        <w:t> </w:t>
      </w:r>
      <w:r>
        <w:rPr>
          <w:spacing w:val="-2"/>
        </w:rPr>
        <w:t>стања</w:t>
      </w:r>
    </w:p>
    <w:p>
      <w:pPr>
        <w:pStyle w:val="ListParagraph"/>
        <w:numPr>
          <w:ilvl w:val="2"/>
          <w:numId w:val="1"/>
        </w:numPr>
        <w:tabs>
          <w:tab w:pos="1154" w:val="left" w:leader="none"/>
        </w:tabs>
        <w:spacing w:line="240" w:lineRule="auto" w:before="235" w:after="0"/>
        <w:ind w:left="1154" w:right="0" w:hanging="794"/>
        <w:jc w:val="left"/>
        <w:rPr>
          <w:sz w:val="24"/>
        </w:rPr>
      </w:pPr>
      <w:r>
        <w:rPr>
          <w:sz w:val="24"/>
        </w:rPr>
        <w:t>Mакроекономска</w:t>
      </w:r>
      <w:r>
        <w:rPr>
          <w:spacing w:val="-6"/>
          <w:sz w:val="24"/>
        </w:rPr>
        <w:t> </w:t>
      </w:r>
      <w:r>
        <w:rPr>
          <w:spacing w:val="-2"/>
          <w:sz w:val="24"/>
        </w:rPr>
        <w:t>кретања</w:t>
      </w:r>
    </w:p>
    <w:p>
      <w:pPr>
        <w:pStyle w:val="BodyText"/>
        <w:spacing w:line="259" w:lineRule="auto" w:before="182"/>
        <w:ind w:right="715" w:firstLine="396"/>
      </w:pPr>
      <w:r>
        <w:rPr/>
        <w:t>Србија је током претходних пет година остварила значајан напредак ка успостављању макроекономске стабилности и одрживог привредног раста. Успешна координација монетарне и фискалне политике, као и доследно спровођење фискалне консолидације и структурно</w:t>
      </w:r>
      <w:r>
        <w:rPr>
          <w:spacing w:val="-15"/>
        </w:rPr>
        <w:t> </w:t>
      </w:r>
      <w:r>
        <w:rPr/>
        <w:t>прилагођавање,</w:t>
      </w:r>
      <w:r>
        <w:rPr>
          <w:spacing w:val="-15"/>
        </w:rPr>
        <w:t> </w:t>
      </w:r>
      <w:r>
        <w:rPr/>
        <w:t>повољно</w:t>
      </w:r>
      <w:r>
        <w:rPr>
          <w:spacing w:val="-15"/>
        </w:rPr>
        <w:t> </w:t>
      </w:r>
      <w:r>
        <w:rPr/>
        <w:t>су</w:t>
      </w:r>
      <w:r>
        <w:rPr>
          <w:spacing w:val="-15"/>
        </w:rPr>
        <w:t> </w:t>
      </w:r>
      <w:r>
        <w:rPr/>
        <w:t>утицали</w:t>
      </w:r>
      <w:r>
        <w:rPr>
          <w:spacing w:val="-15"/>
        </w:rPr>
        <w:t> </w:t>
      </w:r>
      <w:r>
        <w:rPr/>
        <w:t>на</w:t>
      </w:r>
      <w:r>
        <w:rPr>
          <w:spacing w:val="-15"/>
        </w:rPr>
        <w:t> </w:t>
      </w:r>
      <w:r>
        <w:rPr/>
        <w:t>побољшање</w:t>
      </w:r>
      <w:r>
        <w:rPr>
          <w:spacing w:val="-15"/>
        </w:rPr>
        <w:t> </w:t>
      </w:r>
      <w:r>
        <w:rPr/>
        <w:t>пословног</w:t>
      </w:r>
      <w:r>
        <w:rPr>
          <w:spacing w:val="-15"/>
        </w:rPr>
        <w:t> </w:t>
      </w:r>
      <w:r>
        <w:rPr/>
        <w:t>и</w:t>
      </w:r>
      <w:r>
        <w:rPr>
          <w:spacing w:val="-15"/>
        </w:rPr>
        <w:t> </w:t>
      </w:r>
      <w:r>
        <w:rPr/>
        <w:t>инвестиционог </w:t>
      </w:r>
      <w:r>
        <w:rPr>
          <w:spacing w:val="-2"/>
        </w:rPr>
        <w:t>амбијента.</w:t>
      </w:r>
    </w:p>
    <w:p>
      <w:pPr>
        <w:pStyle w:val="BodyText"/>
        <w:spacing w:after="0" w:line="259" w:lineRule="auto"/>
        <w:sectPr>
          <w:pgSz w:w="12240" w:h="15840"/>
          <w:pgMar w:header="0" w:footer="702" w:top="1360" w:bottom="900" w:left="1080" w:right="720"/>
        </w:sectPr>
      </w:pPr>
    </w:p>
    <w:p>
      <w:pPr>
        <w:pStyle w:val="BodyText"/>
        <w:tabs>
          <w:tab w:pos="1190" w:val="left" w:leader="none"/>
        </w:tabs>
        <w:spacing w:before="74"/>
        <w:ind w:left="0" w:right="363"/>
        <w:jc w:val="center"/>
      </w:pPr>
      <w:r>
        <w:rPr/>
        <w:t>Табела</w:t>
      </w:r>
      <w:r>
        <w:rPr>
          <w:spacing w:val="-4"/>
        </w:rPr>
        <w:t> </w:t>
      </w:r>
      <w:r>
        <w:rPr>
          <w:spacing w:val="-5"/>
        </w:rPr>
        <w:t>1.</w:t>
      </w:r>
      <w:r>
        <w:rPr/>
        <w:tab/>
        <w:t>Основни</w:t>
      </w:r>
      <w:r>
        <w:rPr>
          <w:spacing w:val="-10"/>
        </w:rPr>
        <w:t> </w:t>
      </w:r>
      <w:r>
        <w:rPr/>
        <w:t>индикатори</w:t>
      </w:r>
      <w:r>
        <w:rPr>
          <w:spacing w:val="-7"/>
        </w:rPr>
        <w:t> </w:t>
      </w:r>
      <w:r>
        <w:rPr/>
        <w:t>макроекономских</w:t>
      </w:r>
      <w:r>
        <w:rPr>
          <w:spacing w:val="-5"/>
        </w:rPr>
        <w:t> </w:t>
      </w:r>
      <w:r>
        <w:rPr>
          <w:spacing w:val="-2"/>
        </w:rPr>
        <w:t>кретања</w:t>
      </w:r>
    </w:p>
    <w:p>
      <w:pPr>
        <w:pStyle w:val="BodyText"/>
        <w:spacing w:before="3"/>
        <w:ind w:left="0"/>
        <w:jc w:val="left"/>
        <w:rPr>
          <w:sz w:val="13"/>
        </w:rPr>
      </w:pPr>
    </w:p>
    <w:tbl>
      <w:tblPr>
        <w:tblW w:w="0" w:type="auto"/>
        <w:jc w:val="left"/>
        <w:tblInd w:w="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1"/>
        <w:gridCol w:w="1041"/>
        <w:gridCol w:w="964"/>
        <w:gridCol w:w="964"/>
        <w:gridCol w:w="966"/>
        <w:gridCol w:w="887"/>
      </w:tblGrid>
      <w:tr>
        <w:trPr>
          <w:trHeight w:val="302" w:hRule="atLeast"/>
        </w:trPr>
        <w:tc>
          <w:tcPr>
            <w:tcW w:w="4741"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1041" w:type="dxa"/>
            <w:tcBorders>
              <w:top w:val="single" w:sz="4" w:space="0" w:color="000000"/>
              <w:left w:val="single" w:sz="4" w:space="0" w:color="000000"/>
              <w:bottom w:val="single" w:sz="4" w:space="0" w:color="000000"/>
            </w:tcBorders>
          </w:tcPr>
          <w:p>
            <w:pPr>
              <w:pStyle w:val="TableParagraph"/>
              <w:spacing w:before="34"/>
              <w:ind w:right="175"/>
              <w:jc w:val="right"/>
              <w:rPr>
                <w:b/>
                <w:sz w:val="20"/>
              </w:rPr>
            </w:pPr>
            <w:r>
              <w:rPr>
                <w:b/>
                <w:spacing w:val="-4"/>
                <w:sz w:val="20"/>
              </w:rPr>
              <w:t>2015</w:t>
            </w:r>
          </w:p>
        </w:tc>
        <w:tc>
          <w:tcPr>
            <w:tcW w:w="964" w:type="dxa"/>
            <w:tcBorders>
              <w:top w:val="single" w:sz="4" w:space="0" w:color="000000"/>
              <w:bottom w:val="single" w:sz="4" w:space="0" w:color="000000"/>
            </w:tcBorders>
          </w:tcPr>
          <w:p>
            <w:pPr>
              <w:pStyle w:val="TableParagraph"/>
              <w:spacing w:before="34"/>
              <w:ind w:right="174"/>
              <w:jc w:val="right"/>
              <w:rPr>
                <w:b/>
                <w:sz w:val="20"/>
              </w:rPr>
            </w:pPr>
            <w:r>
              <w:rPr>
                <w:b/>
                <w:spacing w:val="-4"/>
                <w:sz w:val="20"/>
              </w:rPr>
              <w:t>2016</w:t>
            </w:r>
          </w:p>
        </w:tc>
        <w:tc>
          <w:tcPr>
            <w:tcW w:w="964" w:type="dxa"/>
            <w:tcBorders>
              <w:top w:val="single" w:sz="4" w:space="0" w:color="000000"/>
              <w:bottom w:val="single" w:sz="4" w:space="0" w:color="000000"/>
            </w:tcBorders>
          </w:tcPr>
          <w:p>
            <w:pPr>
              <w:pStyle w:val="TableParagraph"/>
              <w:spacing w:before="34"/>
              <w:ind w:right="175"/>
              <w:jc w:val="right"/>
              <w:rPr>
                <w:b/>
                <w:sz w:val="20"/>
              </w:rPr>
            </w:pPr>
            <w:r>
              <w:rPr>
                <w:b/>
                <w:spacing w:val="-4"/>
                <w:sz w:val="20"/>
              </w:rPr>
              <w:t>2017</w:t>
            </w:r>
          </w:p>
        </w:tc>
        <w:tc>
          <w:tcPr>
            <w:tcW w:w="966" w:type="dxa"/>
            <w:tcBorders>
              <w:top w:val="single" w:sz="4" w:space="0" w:color="000000"/>
              <w:bottom w:val="single" w:sz="4" w:space="0" w:color="000000"/>
            </w:tcBorders>
          </w:tcPr>
          <w:p>
            <w:pPr>
              <w:pStyle w:val="TableParagraph"/>
              <w:spacing w:before="34"/>
              <w:ind w:right="177"/>
              <w:jc w:val="right"/>
              <w:rPr>
                <w:b/>
                <w:sz w:val="20"/>
              </w:rPr>
            </w:pPr>
            <w:r>
              <w:rPr>
                <w:b/>
                <w:spacing w:val="-4"/>
                <w:sz w:val="20"/>
              </w:rPr>
              <w:t>2018</w:t>
            </w:r>
          </w:p>
        </w:tc>
        <w:tc>
          <w:tcPr>
            <w:tcW w:w="887" w:type="dxa"/>
            <w:tcBorders>
              <w:top w:val="single" w:sz="4" w:space="0" w:color="000000"/>
              <w:bottom w:val="single" w:sz="4" w:space="0" w:color="000000"/>
              <w:right w:val="single" w:sz="4" w:space="0" w:color="000000"/>
            </w:tcBorders>
          </w:tcPr>
          <w:p>
            <w:pPr>
              <w:pStyle w:val="TableParagraph"/>
              <w:spacing w:before="34"/>
              <w:ind w:right="93"/>
              <w:jc w:val="right"/>
              <w:rPr>
                <w:b/>
                <w:sz w:val="20"/>
              </w:rPr>
            </w:pPr>
            <w:r>
              <w:rPr>
                <w:b/>
                <w:spacing w:val="-4"/>
                <w:sz w:val="20"/>
              </w:rPr>
              <w:t>2019</w:t>
            </w:r>
          </w:p>
        </w:tc>
      </w:tr>
      <w:tr>
        <w:trPr>
          <w:trHeight w:val="332" w:hRule="atLeast"/>
        </w:trPr>
        <w:tc>
          <w:tcPr>
            <w:tcW w:w="4741" w:type="dxa"/>
            <w:tcBorders>
              <w:top w:val="single" w:sz="4" w:space="0" w:color="000000"/>
              <w:left w:val="single" w:sz="4" w:space="0" w:color="000000"/>
              <w:right w:val="single" w:sz="4" w:space="0" w:color="000000"/>
            </w:tcBorders>
          </w:tcPr>
          <w:p>
            <w:pPr>
              <w:pStyle w:val="TableParagraph"/>
              <w:spacing w:before="62"/>
              <w:ind w:left="107"/>
              <w:rPr>
                <w:sz w:val="20"/>
              </w:rPr>
            </w:pPr>
            <w:r>
              <w:rPr>
                <w:sz w:val="20"/>
              </w:rPr>
              <w:t>Бруто</w:t>
            </w:r>
            <w:r>
              <w:rPr>
                <w:spacing w:val="-5"/>
                <w:sz w:val="20"/>
              </w:rPr>
              <w:t> </w:t>
            </w:r>
            <w:r>
              <w:rPr>
                <w:sz w:val="20"/>
              </w:rPr>
              <w:t>домаћи</w:t>
            </w:r>
            <w:r>
              <w:rPr>
                <w:spacing w:val="-4"/>
                <w:sz w:val="20"/>
              </w:rPr>
              <w:t> </w:t>
            </w:r>
            <w:r>
              <w:rPr>
                <w:sz w:val="20"/>
              </w:rPr>
              <w:t>производ,</w:t>
            </w:r>
            <w:r>
              <w:rPr>
                <w:spacing w:val="-5"/>
                <w:sz w:val="20"/>
              </w:rPr>
              <w:t> </w:t>
            </w:r>
            <w:r>
              <w:rPr>
                <w:sz w:val="20"/>
              </w:rPr>
              <w:t>реални</w:t>
            </w:r>
            <w:r>
              <w:rPr>
                <w:spacing w:val="-7"/>
                <w:sz w:val="20"/>
              </w:rPr>
              <w:t> </w:t>
            </w:r>
            <w:r>
              <w:rPr>
                <w:sz w:val="20"/>
              </w:rPr>
              <w:t>раст,</w:t>
            </w:r>
            <w:r>
              <w:rPr>
                <w:spacing w:val="-3"/>
                <w:sz w:val="20"/>
              </w:rPr>
              <w:t> </w:t>
            </w:r>
            <w:r>
              <w:rPr>
                <w:sz w:val="20"/>
              </w:rPr>
              <w:t>у</w:t>
            </w:r>
            <w:r>
              <w:rPr>
                <w:spacing w:val="-9"/>
                <w:sz w:val="20"/>
              </w:rPr>
              <w:t> </w:t>
            </w:r>
            <w:r>
              <w:rPr>
                <w:spacing w:val="-10"/>
                <w:sz w:val="20"/>
              </w:rPr>
              <w:t>%</w:t>
            </w:r>
          </w:p>
        </w:tc>
        <w:tc>
          <w:tcPr>
            <w:tcW w:w="1041" w:type="dxa"/>
            <w:tcBorders>
              <w:top w:val="single" w:sz="4" w:space="0" w:color="000000"/>
              <w:left w:val="single" w:sz="4" w:space="0" w:color="000000"/>
            </w:tcBorders>
          </w:tcPr>
          <w:p>
            <w:pPr>
              <w:pStyle w:val="TableParagraph"/>
              <w:spacing w:before="62"/>
              <w:ind w:right="177"/>
              <w:jc w:val="right"/>
              <w:rPr>
                <w:sz w:val="20"/>
              </w:rPr>
            </w:pPr>
            <w:r>
              <w:rPr>
                <w:spacing w:val="-5"/>
                <w:sz w:val="20"/>
              </w:rPr>
              <w:t>1,8</w:t>
            </w:r>
          </w:p>
        </w:tc>
        <w:tc>
          <w:tcPr>
            <w:tcW w:w="964" w:type="dxa"/>
            <w:tcBorders>
              <w:top w:val="single" w:sz="4" w:space="0" w:color="000000"/>
            </w:tcBorders>
          </w:tcPr>
          <w:p>
            <w:pPr>
              <w:pStyle w:val="TableParagraph"/>
              <w:spacing w:before="62"/>
              <w:ind w:right="175"/>
              <w:jc w:val="right"/>
              <w:rPr>
                <w:sz w:val="20"/>
              </w:rPr>
            </w:pPr>
            <w:r>
              <w:rPr>
                <w:spacing w:val="-5"/>
                <w:sz w:val="20"/>
              </w:rPr>
              <w:t>3,3</w:t>
            </w:r>
          </w:p>
        </w:tc>
        <w:tc>
          <w:tcPr>
            <w:tcW w:w="964" w:type="dxa"/>
            <w:tcBorders>
              <w:top w:val="single" w:sz="4" w:space="0" w:color="000000"/>
            </w:tcBorders>
          </w:tcPr>
          <w:p>
            <w:pPr>
              <w:pStyle w:val="TableParagraph"/>
              <w:spacing w:before="62"/>
              <w:ind w:right="177"/>
              <w:jc w:val="right"/>
              <w:rPr>
                <w:sz w:val="20"/>
              </w:rPr>
            </w:pPr>
            <w:r>
              <w:rPr>
                <w:spacing w:val="-5"/>
                <w:sz w:val="20"/>
              </w:rPr>
              <w:t>2,1</w:t>
            </w:r>
          </w:p>
        </w:tc>
        <w:tc>
          <w:tcPr>
            <w:tcW w:w="966" w:type="dxa"/>
            <w:tcBorders>
              <w:top w:val="single" w:sz="4" w:space="0" w:color="000000"/>
            </w:tcBorders>
          </w:tcPr>
          <w:p>
            <w:pPr>
              <w:pStyle w:val="TableParagraph"/>
              <w:spacing w:before="62"/>
              <w:ind w:right="177"/>
              <w:jc w:val="right"/>
              <w:rPr>
                <w:sz w:val="20"/>
              </w:rPr>
            </w:pPr>
            <w:r>
              <w:rPr>
                <w:spacing w:val="-5"/>
                <w:sz w:val="20"/>
              </w:rPr>
              <w:t>4,5</w:t>
            </w:r>
          </w:p>
        </w:tc>
        <w:tc>
          <w:tcPr>
            <w:tcW w:w="887" w:type="dxa"/>
            <w:tcBorders>
              <w:top w:val="single" w:sz="4" w:space="0" w:color="000000"/>
              <w:right w:val="single" w:sz="4" w:space="0" w:color="000000"/>
            </w:tcBorders>
          </w:tcPr>
          <w:p>
            <w:pPr>
              <w:pStyle w:val="TableParagraph"/>
              <w:spacing w:before="62"/>
              <w:ind w:right="95"/>
              <w:jc w:val="right"/>
              <w:rPr>
                <w:sz w:val="20"/>
              </w:rPr>
            </w:pPr>
            <w:r>
              <w:rPr>
                <w:spacing w:val="-4"/>
                <w:sz w:val="20"/>
              </w:rPr>
              <w:t>4,2*</w:t>
            </w:r>
          </w:p>
        </w:tc>
      </w:tr>
      <w:tr>
        <w:trPr>
          <w:trHeight w:val="300" w:hRule="atLeast"/>
        </w:trPr>
        <w:tc>
          <w:tcPr>
            <w:tcW w:w="4741" w:type="dxa"/>
            <w:tcBorders>
              <w:left w:val="single" w:sz="4" w:space="0" w:color="000000"/>
              <w:right w:val="single" w:sz="4" w:space="0" w:color="000000"/>
            </w:tcBorders>
          </w:tcPr>
          <w:p>
            <w:pPr>
              <w:pStyle w:val="TableParagraph"/>
              <w:spacing w:before="30"/>
              <w:ind w:left="107"/>
              <w:rPr>
                <w:sz w:val="20"/>
              </w:rPr>
            </w:pPr>
            <w:r>
              <w:rPr>
                <w:sz w:val="20"/>
              </w:rPr>
              <w:t>Бруто</w:t>
            </w:r>
            <w:r>
              <w:rPr>
                <w:spacing w:val="-5"/>
                <w:sz w:val="20"/>
              </w:rPr>
              <w:t> </w:t>
            </w:r>
            <w:r>
              <w:rPr>
                <w:sz w:val="20"/>
              </w:rPr>
              <w:t>домаћи</w:t>
            </w:r>
            <w:r>
              <w:rPr>
                <w:spacing w:val="-4"/>
                <w:sz w:val="20"/>
              </w:rPr>
              <w:t> </w:t>
            </w:r>
            <w:r>
              <w:rPr>
                <w:sz w:val="20"/>
              </w:rPr>
              <w:t>производ,</w:t>
            </w:r>
            <w:r>
              <w:rPr>
                <w:spacing w:val="-4"/>
                <w:sz w:val="20"/>
              </w:rPr>
              <w:t> </w:t>
            </w:r>
            <w:r>
              <w:rPr>
                <w:sz w:val="20"/>
              </w:rPr>
              <w:t>per</w:t>
            </w:r>
            <w:r>
              <w:rPr>
                <w:spacing w:val="-5"/>
                <w:sz w:val="20"/>
              </w:rPr>
              <w:t> </w:t>
            </w:r>
            <w:r>
              <w:rPr>
                <w:sz w:val="20"/>
              </w:rPr>
              <w:t>capita,</w:t>
            </w:r>
            <w:r>
              <w:rPr>
                <w:spacing w:val="-4"/>
                <w:sz w:val="20"/>
              </w:rPr>
              <w:t> </w:t>
            </w:r>
            <w:r>
              <w:rPr>
                <w:sz w:val="20"/>
              </w:rPr>
              <w:t>у</w:t>
            </w:r>
            <w:r>
              <w:rPr>
                <w:spacing w:val="-9"/>
                <w:sz w:val="20"/>
              </w:rPr>
              <w:t> </w:t>
            </w:r>
            <w:r>
              <w:rPr>
                <w:spacing w:val="-5"/>
                <w:sz w:val="20"/>
              </w:rPr>
              <w:t>ЕУР</w:t>
            </w:r>
          </w:p>
        </w:tc>
        <w:tc>
          <w:tcPr>
            <w:tcW w:w="1041" w:type="dxa"/>
            <w:tcBorders>
              <w:left w:val="single" w:sz="4" w:space="0" w:color="000000"/>
            </w:tcBorders>
          </w:tcPr>
          <w:p>
            <w:pPr>
              <w:pStyle w:val="TableParagraph"/>
              <w:spacing w:before="30"/>
              <w:ind w:right="176"/>
              <w:jc w:val="right"/>
              <w:rPr>
                <w:sz w:val="20"/>
              </w:rPr>
            </w:pPr>
            <w:r>
              <w:rPr>
                <w:spacing w:val="-2"/>
                <w:sz w:val="20"/>
              </w:rPr>
              <w:t>5.037</w:t>
            </w:r>
          </w:p>
        </w:tc>
        <w:tc>
          <w:tcPr>
            <w:tcW w:w="964" w:type="dxa"/>
          </w:tcPr>
          <w:p>
            <w:pPr>
              <w:pStyle w:val="TableParagraph"/>
              <w:spacing w:before="30"/>
              <w:ind w:right="174"/>
              <w:jc w:val="right"/>
              <w:rPr>
                <w:sz w:val="20"/>
              </w:rPr>
            </w:pPr>
            <w:r>
              <w:rPr>
                <w:spacing w:val="-2"/>
                <w:sz w:val="20"/>
              </w:rPr>
              <w:t>5.211</w:t>
            </w:r>
          </w:p>
        </w:tc>
        <w:tc>
          <w:tcPr>
            <w:tcW w:w="964" w:type="dxa"/>
          </w:tcPr>
          <w:p>
            <w:pPr>
              <w:pStyle w:val="TableParagraph"/>
              <w:spacing w:before="30"/>
              <w:ind w:right="177"/>
              <w:jc w:val="right"/>
              <w:rPr>
                <w:sz w:val="20"/>
              </w:rPr>
            </w:pPr>
            <w:r>
              <w:rPr>
                <w:spacing w:val="-2"/>
                <w:sz w:val="20"/>
              </w:rPr>
              <w:t>5.588</w:t>
            </w:r>
          </w:p>
        </w:tc>
        <w:tc>
          <w:tcPr>
            <w:tcW w:w="966" w:type="dxa"/>
          </w:tcPr>
          <w:p>
            <w:pPr>
              <w:pStyle w:val="TableParagraph"/>
              <w:spacing w:before="30"/>
              <w:ind w:right="176"/>
              <w:jc w:val="right"/>
              <w:rPr>
                <w:sz w:val="20"/>
              </w:rPr>
            </w:pPr>
            <w:r>
              <w:rPr>
                <w:spacing w:val="-2"/>
                <w:sz w:val="20"/>
              </w:rPr>
              <w:t>6.143</w:t>
            </w:r>
          </w:p>
        </w:tc>
        <w:tc>
          <w:tcPr>
            <w:tcW w:w="887" w:type="dxa"/>
            <w:tcBorders>
              <w:right w:val="single" w:sz="4" w:space="0" w:color="000000"/>
            </w:tcBorders>
          </w:tcPr>
          <w:p>
            <w:pPr>
              <w:pStyle w:val="TableParagraph"/>
              <w:spacing w:before="30"/>
              <w:ind w:right="92"/>
              <w:jc w:val="right"/>
              <w:rPr>
                <w:sz w:val="20"/>
              </w:rPr>
            </w:pPr>
            <w:r>
              <w:rPr>
                <w:spacing w:val="-2"/>
                <w:sz w:val="20"/>
              </w:rPr>
              <w:t>6.619*</w:t>
            </w:r>
          </w:p>
        </w:tc>
      </w:tr>
      <w:tr>
        <w:trPr>
          <w:trHeight w:val="300" w:hRule="atLeast"/>
        </w:trPr>
        <w:tc>
          <w:tcPr>
            <w:tcW w:w="4741" w:type="dxa"/>
            <w:tcBorders>
              <w:left w:val="single" w:sz="4" w:space="0" w:color="000000"/>
              <w:right w:val="single" w:sz="4" w:space="0" w:color="000000"/>
            </w:tcBorders>
          </w:tcPr>
          <w:p>
            <w:pPr>
              <w:pStyle w:val="TableParagraph"/>
              <w:spacing w:before="30"/>
              <w:ind w:left="107"/>
              <w:rPr>
                <w:sz w:val="20"/>
              </w:rPr>
            </w:pPr>
            <w:r>
              <w:rPr>
                <w:sz w:val="20"/>
              </w:rPr>
              <w:t>Јавни</w:t>
            </w:r>
            <w:r>
              <w:rPr>
                <w:spacing w:val="-7"/>
                <w:sz w:val="20"/>
              </w:rPr>
              <w:t> </w:t>
            </w:r>
            <w:r>
              <w:rPr>
                <w:sz w:val="20"/>
              </w:rPr>
              <w:t>дуг</w:t>
            </w:r>
            <w:r>
              <w:rPr>
                <w:spacing w:val="-6"/>
                <w:sz w:val="20"/>
              </w:rPr>
              <w:t> </w:t>
            </w:r>
            <w:r>
              <w:rPr>
                <w:sz w:val="20"/>
              </w:rPr>
              <w:t>(општа</w:t>
            </w:r>
            <w:r>
              <w:rPr>
                <w:spacing w:val="-5"/>
                <w:sz w:val="20"/>
              </w:rPr>
              <w:t> </w:t>
            </w:r>
            <w:r>
              <w:rPr>
                <w:sz w:val="20"/>
              </w:rPr>
              <w:t>држава),</w:t>
            </w:r>
            <w:r>
              <w:rPr>
                <w:spacing w:val="-3"/>
                <w:sz w:val="20"/>
              </w:rPr>
              <w:t> </w:t>
            </w:r>
            <w:r>
              <w:rPr>
                <w:sz w:val="20"/>
              </w:rPr>
              <w:t>%</w:t>
            </w:r>
            <w:r>
              <w:rPr>
                <w:spacing w:val="-6"/>
                <w:sz w:val="20"/>
              </w:rPr>
              <w:t> </w:t>
            </w:r>
            <w:r>
              <w:rPr>
                <w:spacing w:val="-5"/>
                <w:sz w:val="20"/>
              </w:rPr>
              <w:t>БДП</w:t>
            </w:r>
          </w:p>
        </w:tc>
        <w:tc>
          <w:tcPr>
            <w:tcW w:w="1041" w:type="dxa"/>
            <w:tcBorders>
              <w:left w:val="single" w:sz="4" w:space="0" w:color="000000"/>
            </w:tcBorders>
          </w:tcPr>
          <w:p>
            <w:pPr>
              <w:pStyle w:val="TableParagraph"/>
              <w:spacing w:before="30"/>
              <w:ind w:right="177"/>
              <w:jc w:val="right"/>
              <w:rPr>
                <w:sz w:val="20"/>
              </w:rPr>
            </w:pPr>
            <w:r>
              <w:rPr>
                <w:spacing w:val="-4"/>
                <w:sz w:val="20"/>
              </w:rPr>
              <w:t>71,2</w:t>
            </w:r>
          </w:p>
        </w:tc>
        <w:tc>
          <w:tcPr>
            <w:tcW w:w="964" w:type="dxa"/>
          </w:tcPr>
          <w:p>
            <w:pPr>
              <w:pStyle w:val="TableParagraph"/>
              <w:spacing w:before="30"/>
              <w:ind w:right="175"/>
              <w:jc w:val="right"/>
              <w:rPr>
                <w:sz w:val="20"/>
              </w:rPr>
            </w:pPr>
            <w:r>
              <w:rPr>
                <w:spacing w:val="-4"/>
                <w:sz w:val="20"/>
              </w:rPr>
              <w:t>68,7</w:t>
            </w:r>
          </w:p>
        </w:tc>
        <w:tc>
          <w:tcPr>
            <w:tcW w:w="964" w:type="dxa"/>
          </w:tcPr>
          <w:p>
            <w:pPr>
              <w:pStyle w:val="TableParagraph"/>
              <w:spacing w:before="30"/>
              <w:ind w:right="177"/>
              <w:jc w:val="right"/>
              <w:rPr>
                <w:sz w:val="20"/>
              </w:rPr>
            </w:pPr>
            <w:r>
              <w:rPr>
                <w:spacing w:val="-4"/>
                <w:sz w:val="20"/>
              </w:rPr>
              <w:t>58,6</w:t>
            </w:r>
          </w:p>
        </w:tc>
        <w:tc>
          <w:tcPr>
            <w:tcW w:w="966" w:type="dxa"/>
          </w:tcPr>
          <w:p>
            <w:pPr>
              <w:pStyle w:val="TableParagraph"/>
              <w:spacing w:before="30"/>
              <w:ind w:right="178"/>
              <w:jc w:val="right"/>
              <w:rPr>
                <w:sz w:val="20"/>
              </w:rPr>
            </w:pPr>
            <w:r>
              <w:rPr>
                <w:spacing w:val="-4"/>
                <w:sz w:val="20"/>
              </w:rPr>
              <w:t>54,4</w:t>
            </w:r>
          </w:p>
        </w:tc>
        <w:tc>
          <w:tcPr>
            <w:tcW w:w="887" w:type="dxa"/>
            <w:tcBorders>
              <w:right w:val="single" w:sz="4" w:space="0" w:color="000000"/>
            </w:tcBorders>
          </w:tcPr>
          <w:p>
            <w:pPr>
              <w:pStyle w:val="TableParagraph"/>
              <w:spacing w:before="30"/>
              <w:ind w:right="95"/>
              <w:jc w:val="right"/>
              <w:rPr>
                <w:sz w:val="20"/>
              </w:rPr>
            </w:pPr>
            <w:r>
              <w:rPr>
                <w:spacing w:val="-4"/>
                <w:sz w:val="20"/>
              </w:rPr>
              <w:t>52,9</w:t>
            </w:r>
          </w:p>
        </w:tc>
      </w:tr>
      <w:tr>
        <w:trPr>
          <w:trHeight w:val="300" w:hRule="atLeast"/>
        </w:trPr>
        <w:tc>
          <w:tcPr>
            <w:tcW w:w="4741" w:type="dxa"/>
            <w:tcBorders>
              <w:left w:val="single" w:sz="4" w:space="0" w:color="000000"/>
              <w:right w:val="single" w:sz="4" w:space="0" w:color="000000"/>
            </w:tcBorders>
          </w:tcPr>
          <w:p>
            <w:pPr>
              <w:pStyle w:val="TableParagraph"/>
              <w:spacing w:before="30"/>
              <w:ind w:left="107"/>
              <w:rPr>
                <w:sz w:val="20"/>
              </w:rPr>
            </w:pPr>
            <w:r>
              <w:rPr>
                <w:sz w:val="20"/>
              </w:rPr>
              <w:t>Стране</w:t>
            </w:r>
            <w:r>
              <w:rPr>
                <w:spacing w:val="-8"/>
                <w:sz w:val="20"/>
              </w:rPr>
              <w:t> </w:t>
            </w:r>
            <w:r>
              <w:rPr>
                <w:sz w:val="20"/>
              </w:rPr>
              <w:t>директне</w:t>
            </w:r>
            <w:r>
              <w:rPr>
                <w:spacing w:val="-4"/>
                <w:sz w:val="20"/>
              </w:rPr>
              <w:t> </w:t>
            </w:r>
            <w:r>
              <w:rPr>
                <w:sz w:val="20"/>
              </w:rPr>
              <w:t>инвестиције,</w:t>
            </w:r>
            <w:r>
              <w:rPr>
                <w:spacing w:val="-7"/>
                <w:sz w:val="20"/>
              </w:rPr>
              <w:t> </w:t>
            </w:r>
            <w:r>
              <w:rPr>
                <w:sz w:val="20"/>
              </w:rPr>
              <w:t>нето,</w:t>
            </w:r>
            <w:r>
              <w:rPr>
                <w:spacing w:val="-5"/>
                <w:sz w:val="20"/>
              </w:rPr>
              <w:t> </w:t>
            </w:r>
            <w:r>
              <w:rPr>
                <w:sz w:val="20"/>
              </w:rPr>
              <w:t>у</w:t>
            </w:r>
            <w:r>
              <w:rPr>
                <w:spacing w:val="-11"/>
                <w:sz w:val="20"/>
              </w:rPr>
              <w:t> </w:t>
            </w:r>
            <w:r>
              <w:rPr>
                <w:sz w:val="20"/>
              </w:rPr>
              <w:t>мил.</w:t>
            </w:r>
            <w:r>
              <w:rPr>
                <w:spacing w:val="-7"/>
                <w:sz w:val="20"/>
              </w:rPr>
              <w:t> </w:t>
            </w:r>
            <w:r>
              <w:rPr>
                <w:spacing w:val="-5"/>
                <w:sz w:val="20"/>
              </w:rPr>
              <w:t>ЕУР</w:t>
            </w:r>
          </w:p>
        </w:tc>
        <w:tc>
          <w:tcPr>
            <w:tcW w:w="1041" w:type="dxa"/>
            <w:tcBorders>
              <w:left w:val="single" w:sz="4" w:space="0" w:color="000000"/>
            </w:tcBorders>
          </w:tcPr>
          <w:p>
            <w:pPr>
              <w:pStyle w:val="TableParagraph"/>
              <w:spacing w:before="30"/>
              <w:ind w:right="177"/>
              <w:jc w:val="right"/>
              <w:rPr>
                <w:sz w:val="20"/>
              </w:rPr>
            </w:pPr>
            <w:r>
              <w:rPr>
                <w:spacing w:val="-2"/>
                <w:sz w:val="20"/>
              </w:rPr>
              <w:t>1.803,8</w:t>
            </w:r>
          </w:p>
        </w:tc>
        <w:tc>
          <w:tcPr>
            <w:tcW w:w="964" w:type="dxa"/>
          </w:tcPr>
          <w:p>
            <w:pPr>
              <w:pStyle w:val="TableParagraph"/>
              <w:spacing w:before="30"/>
              <w:ind w:right="176"/>
              <w:jc w:val="right"/>
              <w:rPr>
                <w:sz w:val="20"/>
              </w:rPr>
            </w:pPr>
            <w:r>
              <w:rPr>
                <w:spacing w:val="-2"/>
                <w:sz w:val="20"/>
              </w:rPr>
              <w:t>1.899,2</w:t>
            </w:r>
          </w:p>
        </w:tc>
        <w:tc>
          <w:tcPr>
            <w:tcW w:w="964" w:type="dxa"/>
          </w:tcPr>
          <w:p>
            <w:pPr>
              <w:pStyle w:val="TableParagraph"/>
              <w:spacing w:before="30"/>
              <w:ind w:right="178"/>
              <w:jc w:val="right"/>
              <w:rPr>
                <w:sz w:val="20"/>
              </w:rPr>
            </w:pPr>
            <w:r>
              <w:rPr>
                <w:spacing w:val="-2"/>
                <w:sz w:val="20"/>
              </w:rPr>
              <w:t>2.418,1</w:t>
            </w:r>
          </w:p>
        </w:tc>
        <w:tc>
          <w:tcPr>
            <w:tcW w:w="966" w:type="dxa"/>
          </w:tcPr>
          <w:p>
            <w:pPr>
              <w:pStyle w:val="TableParagraph"/>
              <w:spacing w:before="30"/>
              <w:ind w:right="179"/>
              <w:jc w:val="right"/>
              <w:rPr>
                <w:sz w:val="20"/>
              </w:rPr>
            </w:pPr>
            <w:r>
              <w:rPr>
                <w:spacing w:val="-2"/>
                <w:sz w:val="20"/>
              </w:rPr>
              <w:t>3.156,5</w:t>
            </w:r>
          </w:p>
        </w:tc>
        <w:tc>
          <w:tcPr>
            <w:tcW w:w="887" w:type="dxa"/>
            <w:tcBorders>
              <w:right w:val="single" w:sz="4" w:space="0" w:color="000000"/>
            </w:tcBorders>
          </w:tcPr>
          <w:p>
            <w:pPr>
              <w:pStyle w:val="TableParagraph"/>
              <w:spacing w:before="30"/>
              <w:ind w:right="94"/>
              <w:jc w:val="right"/>
              <w:rPr>
                <w:sz w:val="20"/>
              </w:rPr>
            </w:pPr>
            <w:r>
              <w:rPr>
                <w:spacing w:val="-2"/>
                <w:sz w:val="20"/>
              </w:rPr>
              <w:t>3.551,1</w:t>
            </w:r>
          </w:p>
        </w:tc>
      </w:tr>
      <w:tr>
        <w:trPr>
          <w:trHeight w:val="300" w:hRule="atLeast"/>
        </w:trPr>
        <w:tc>
          <w:tcPr>
            <w:tcW w:w="4741" w:type="dxa"/>
            <w:tcBorders>
              <w:left w:val="single" w:sz="4" w:space="0" w:color="000000"/>
              <w:right w:val="single" w:sz="4" w:space="0" w:color="000000"/>
            </w:tcBorders>
          </w:tcPr>
          <w:p>
            <w:pPr>
              <w:pStyle w:val="TableParagraph"/>
              <w:spacing w:before="30"/>
              <w:ind w:left="107"/>
              <w:rPr>
                <w:sz w:val="20"/>
              </w:rPr>
            </w:pPr>
            <w:r>
              <w:rPr>
                <w:sz w:val="20"/>
              </w:rPr>
              <w:t>Стране</w:t>
            </w:r>
            <w:r>
              <w:rPr>
                <w:spacing w:val="-8"/>
                <w:sz w:val="20"/>
              </w:rPr>
              <w:t> </w:t>
            </w:r>
            <w:r>
              <w:rPr>
                <w:sz w:val="20"/>
              </w:rPr>
              <w:t>директне</w:t>
            </w:r>
            <w:r>
              <w:rPr>
                <w:spacing w:val="-5"/>
                <w:sz w:val="20"/>
              </w:rPr>
              <w:t> </w:t>
            </w:r>
            <w:r>
              <w:rPr>
                <w:sz w:val="20"/>
              </w:rPr>
              <w:t>инвестиције,</w:t>
            </w:r>
            <w:r>
              <w:rPr>
                <w:spacing w:val="-7"/>
                <w:sz w:val="20"/>
              </w:rPr>
              <w:t> </w:t>
            </w:r>
            <w:r>
              <w:rPr>
                <w:sz w:val="20"/>
              </w:rPr>
              <w:t>нето,</w:t>
            </w:r>
            <w:r>
              <w:rPr>
                <w:spacing w:val="-8"/>
                <w:sz w:val="20"/>
              </w:rPr>
              <w:t> </w:t>
            </w:r>
            <w:r>
              <w:rPr>
                <w:sz w:val="20"/>
              </w:rPr>
              <w:t>%</w:t>
            </w:r>
            <w:r>
              <w:rPr>
                <w:spacing w:val="-8"/>
                <w:sz w:val="20"/>
              </w:rPr>
              <w:t> </w:t>
            </w:r>
            <w:r>
              <w:rPr>
                <w:spacing w:val="-5"/>
                <w:sz w:val="20"/>
              </w:rPr>
              <w:t>БДП</w:t>
            </w:r>
          </w:p>
        </w:tc>
        <w:tc>
          <w:tcPr>
            <w:tcW w:w="1041" w:type="dxa"/>
            <w:tcBorders>
              <w:left w:val="single" w:sz="4" w:space="0" w:color="000000"/>
            </w:tcBorders>
          </w:tcPr>
          <w:p>
            <w:pPr>
              <w:pStyle w:val="TableParagraph"/>
              <w:spacing w:before="30"/>
              <w:ind w:right="176"/>
              <w:jc w:val="right"/>
              <w:rPr>
                <w:sz w:val="20"/>
              </w:rPr>
            </w:pPr>
            <w:r>
              <w:rPr>
                <w:spacing w:val="-5"/>
                <w:sz w:val="20"/>
              </w:rPr>
              <w:t>5,0</w:t>
            </w:r>
          </w:p>
        </w:tc>
        <w:tc>
          <w:tcPr>
            <w:tcW w:w="964" w:type="dxa"/>
          </w:tcPr>
          <w:p>
            <w:pPr>
              <w:pStyle w:val="TableParagraph"/>
              <w:spacing w:before="30"/>
              <w:ind w:right="175"/>
              <w:jc w:val="right"/>
              <w:rPr>
                <w:sz w:val="20"/>
              </w:rPr>
            </w:pPr>
            <w:r>
              <w:rPr>
                <w:spacing w:val="-5"/>
                <w:sz w:val="20"/>
              </w:rPr>
              <w:t>5,2</w:t>
            </w:r>
          </w:p>
        </w:tc>
        <w:tc>
          <w:tcPr>
            <w:tcW w:w="964" w:type="dxa"/>
          </w:tcPr>
          <w:p>
            <w:pPr>
              <w:pStyle w:val="TableParagraph"/>
              <w:spacing w:before="30"/>
              <w:ind w:right="177"/>
              <w:jc w:val="right"/>
              <w:rPr>
                <w:sz w:val="20"/>
              </w:rPr>
            </w:pPr>
            <w:r>
              <w:rPr>
                <w:spacing w:val="-5"/>
                <w:sz w:val="20"/>
              </w:rPr>
              <w:t>6,2</w:t>
            </w:r>
          </w:p>
        </w:tc>
        <w:tc>
          <w:tcPr>
            <w:tcW w:w="966" w:type="dxa"/>
          </w:tcPr>
          <w:p>
            <w:pPr>
              <w:pStyle w:val="TableParagraph"/>
              <w:spacing w:before="30"/>
              <w:ind w:right="178"/>
              <w:jc w:val="right"/>
              <w:rPr>
                <w:sz w:val="20"/>
              </w:rPr>
            </w:pPr>
            <w:r>
              <w:rPr>
                <w:spacing w:val="-5"/>
                <w:sz w:val="20"/>
              </w:rPr>
              <w:t>7,4</w:t>
            </w:r>
          </w:p>
        </w:tc>
        <w:tc>
          <w:tcPr>
            <w:tcW w:w="887" w:type="dxa"/>
            <w:tcBorders>
              <w:right w:val="single" w:sz="4" w:space="0" w:color="000000"/>
            </w:tcBorders>
          </w:tcPr>
          <w:p>
            <w:pPr>
              <w:pStyle w:val="TableParagraph"/>
              <w:spacing w:before="30"/>
              <w:ind w:right="94"/>
              <w:jc w:val="right"/>
              <w:rPr>
                <w:sz w:val="20"/>
              </w:rPr>
            </w:pPr>
            <w:r>
              <w:rPr>
                <w:spacing w:val="-5"/>
                <w:sz w:val="20"/>
              </w:rPr>
              <w:t>7,7</w:t>
            </w:r>
          </w:p>
        </w:tc>
      </w:tr>
      <w:tr>
        <w:trPr>
          <w:trHeight w:val="300" w:hRule="atLeast"/>
        </w:trPr>
        <w:tc>
          <w:tcPr>
            <w:tcW w:w="4741" w:type="dxa"/>
            <w:tcBorders>
              <w:left w:val="single" w:sz="4" w:space="0" w:color="000000"/>
              <w:right w:val="single" w:sz="4" w:space="0" w:color="000000"/>
            </w:tcBorders>
          </w:tcPr>
          <w:p>
            <w:pPr>
              <w:pStyle w:val="TableParagraph"/>
              <w:spacing w:before="30"/>
              <w:ind w:left="107"/>
              <w:rPr>
                <w:sz w:val="20"/>
              </w:rPr>
            </w:pPr>
            <w:r>
              <w:rPr>
                <w:sz w:val="20"/>
              </w:rPr>
              <w:t>Инфлација,</w:t>
            </w:r>
            <w:r>
              <w:rPr>
                <w:spacing w:val="-5"/>
                <w:sz w:val="20"/>
              </w:rPr>
              <w:t> </w:t>
            </w:r>
            <w:r>
              <w:rPr>
                <w:sz w:val="20"/>
              </w:rPr>
              <w:t>у</w:t>
            </w:r>
            <w:r>
              <w:rPr>
                <w:spacing w:val="-8"/>
                <w:sz w:val="20"/>
              </w:rPr>
              <w:t> </w:t>
            </w:r>
            <w:r>
              <w:rPr>
                <w:spacing w:val="-10"/>
                <w:sz w:val="20"/>
              </w:rPr>
              <w:t>%</w:t>
            </w:r>
          </w:p>
        </w:tc>
        <w:tc>
          <w:tcPr>
            <w:tcW w:w="1041" w:type="dxa"/>
            <w:tcBorders>
              <w:left w:val="single" w:sz="4" w:space="0" w:color="000000"/>
            </w:tcBorders>
          </w:tcPr>
          <w:p>
            <w:pPr>
              <w:pStyle w:val="TableParagraph"/>
              <w:spacing w:before="30"/>
              <w:ind w:right="177"/>
              <w:jc w:val="right"/>
              <w:rPr>
                <w:sz w:val="20"/>
              </w:rPr>
            </w:pPr>
            <w:r>
              <w:rPr>
                <w:spacing w:val="-5"/>
                <w:sz w:val="20"/>
              </w:rPr>
              <w:t>1,9</w:t>
            </w:r>
          </w:p>
        </w:tc>
        <w:tc>
          <w:tcPr>
            <w:tcW w:w="964" w:type="dxa"/>
          </w:tcPr>
          <w:p>
            <w:pPr>
              <w:pStyle w:val="TableParagraph"/>
              <w:spacing w:before="30"/>
              <w:ind w:right="175"/>
              <w:jc w:val="right"/>
              <w:rPr>
                <w:sz w:val="20"/>
              </w:rPr>
            </w:pPr>
            <w:r>
              <w:rPr>
                <w:spacing w:val="-5"/>
                <w:sz w:val="20"/>
              </w:rPr>
              <w:t>1,2</w:t>
            </w:r>
          </w:p>
        </w:tc>
        <w:tc>
          <w:tcPr>
            <w:tcW w:w="964" w:type="dxa"/>
          </w:tcPr>
          <w:p>
            <w:pPr>
              <w:pStyle w:val="TableParagraph"/>
              <w:spacing w:before="30"/>
              <w:ind w:right="177"/>
              <w:jc w:val="right"/>
              <w:rPr>
                <w:sz w:val="20"/>
              </w:rPr>
            </w:pPr>
            <w:r>
              <w:rPr>
                <w:spacing w:val="-5"/>
                <w:sz w:val="20"/>
              </w:rPr>
              <w:t>3,0</w:t>
            </w:r>
          </w:p>
        </w:tc>
        <w:tc>
          <w:tcPr>
            <w:tcW w:w="966" w:type="dxa"/>
          </w:tcPr>
          <w:p>
            <w:pPr>
              <w:pStyle w:val="TableParagraph"/>
              <w:spacing w:before="30"/>
              <w:ind w:right="178"/>
              <w:jc w:val="right"/>
              <w:rPr>
                <w:sz w:val="20"/>
              </w:rPr>
            </w:pPr>
            <w:r>
              <w:rPr>
                <w:spacing w:val="-5"/>
                <w:sz w:val="20"/>
              </w:rPr>
              <w:t>2,0</w:t>
            </w:r>
          </w:p>
        </w:tc>
        <w:tc>
          <w:tcPr>
            <w:tcW w:w="887" w:type="dxa"/>
            <w:tcBorders>
              <w:right w:val="single" w:sz="4" w:space="0" w:color="000000"/>
            </w:tcBorders>
          </w:tcPr>
          <w:p>
            <w:pPr>
              <w:pStyle w:val="TableParagraph"/>
              <w:spacing w:before="30"/>
              <w:ind w:right="95"/>
              <w:jc w:val="right"/>
              <w:rPr>
                <w:sz w:val="20"/>
              </w:rPr>
            </w:pPr>
            <w:r>
              <w:rPr>
                <w:spacing w:val="-5"/>
                <w:sz w:val="20"/>
              </w:rPr>
              <w:t>1,7</w:t>
            </w:r>
          </w:p>
        </w:tc>
      </w:tr>
      <w:tr>
        <w:trPr>
          <w:trHeight w:val="300" w:hRule="atLeast"/>
        </w:trPr>
        <w:tc>
          <w:tcPr>
            <w:tcW w:w="4741" w:type="dxa"/>
            <w:tcBorders>
              <w:left w:val="single" w:sz="4" w:space="0" w:color="000000"/>
              <w:right w:val="single" w:sz="4" w:space="0" w:color="000000"/>
            </w:tcBorders>
          </w:tcPr>
          <w:p>
            <w:pPr>
              <w:pStyle w:val="TableParagraph"/>
              <w:spacing w:before="30"/>
              <w:ind w:left="107"/>
              <w:rPr>
                <w:sz w:val="20"/>
              </w:rPr>
            </w:pPr>
            <w:r>
              <w:rPr>
                <w:sz w:val="20"/>
              </w:rPr>
              <w:t>Вредност</w:t>
            </w:r>
            <w:r>
              <w:rPr>
                <w:spacing w:val="-7"/>
                <w:sz w:val="20"/>
              </w:rPr>
              <w:t> </w:t>
            </w:r>
            <w:r>
              <w:rPr>
                <w:sz w:val="20"/>
              </w:rPr>
              <w:t>евра</w:t>
            </w:r>
            <w:r>
              <w:rPr>
                <w:spacing w:val="-2"/>
                <w:sz w:val="20"/>
              </w:rPr>
              <w:t> </w:t>
            </w:r>
            <w:r>
              <w:rPr>
                <w:sz w:val="20"/>
              </w:rPr>
              <w:t>у</w:t>
            </w:r>
            <w:r>
              <w:rPr>
                <w:spacing w:val="-9"/>
                <w:sz w:val="20"/>
              </w:rPr>
              <w:t> </w:t>
            </w:r>
            <w:r>
              <w:rPr>
                <w:sz w:val="20"/>
              </w:rPr>
              <w:t>односу</w:t>
            </w:r>
            <w:r>
              <w:rPr>
                <w:spacing w:val="-6"/>
                <w:sz w:val="20"/>
              </w:rPr>
              <w:t> </w:t>
            </w:r>
            <w:r>
              <w:rPr>
                <w:sz w:val="20"/>
              </w:rPr>
              <w:t>на</w:t>
            </w:r>
            <w:r>
              <w:rPr>
                <w:spacing w:val="-5"/>
                <w:sz w:val="20"/>
              </w:rPr>
              <w:t> </w:t>
            </w:r>
            <w:r>
              <w:rPr>
                <w:sz w:val="20"/>
              </w:rPr>
              <w:t>динар,</w:t>
            </w:r>
            <w:r>
              <w:rPr>
                <w:spacing w:val="-5"/>
                <w:sz w:val="20"/>
              </w:rPr>
              <w:t> </w:t>
            </w:r>
            <w:r>
              <w:rPr>
                <w:sz w:val="20"/>
              </w:rPr>
              <w:t>просек</w:t>
            </w:r>
            <w:r>
              <w:rPr>
                <w:spacing w:val="-7"/>
                <w:sz w:val="20"/>
              </w:rPr>
              <w:t> </w:t>
            </w:r>
            <w:r>
              <w:rPr>
                <w:spacing w:val="-2"/>
                <w:sz w:val="20"/>
              </w:rPr>
              <w:t>периода</w:t>
            </w:r>
          </w:p>
        </w:tc>
        <w:tc>
          <w:tcPr>
            <w:tcW w:w="1041" w:type="dxa"/>
            <w:tcBorders>
              <w:left w:val="single" w:sz="4" w:space="0" w:color="000000"/>
            </w:tcBorders>
          </w:tcPr>
          <w:p>
            <w:pPr>
              <w:pStyle w:val="TableParagraph"/>
              <w:spacing w:before="30"/>
              <w:ind w:right="177"/>
              <w:jc w:val="right"/>
              <w:rPr>
                <w:sz w:val="20"/>
              </w:rPr>
            </w:pPr>
            <w:r>
              <w:rPr>
                <w:spacing w:val="-2"/>
                <w:sz w:val="20"/>
              </w:rPr>
              <w:t>120,73</w:t>
            </w:r>
          </w:p>
        </w:tc>
        <w:tc>
          <w:tcPr>
            <w:tcW w:w="964" w:type="dxa"/>
          </w:tcPr>
          <w:p>
            <w:pPr>
              <w:pStyle w:val="TableParagraph"/>
              <w:spacing w:before="30"/>
              <w:ind w:right="176"/>
              <w:jc w:val="right"/>
              <w:rPr>
                <w:sz w:val="20"/>
              </w:rPr>
            </w:pPr>
            <w:r>
              <w:rPr>
                <w:spacing w:val="-2"/>
                <w:sz w:val="20"/>
              </w:rPr>
              <w:t>123,12</w:t>
            </w:r>
          </w:p>
        </w:tc>
        <w:tc>
          <w:tcPr>
            <w:tcW w:w="964" w:type="dxa"/>
          </w:tcPr>
          <w:p>
            <w:pPr>
              <w:pStyle w:val="TableParagraph"/>
              <w:spacing w:before="30"/>
              <w:ind w:right="177"/>
              <w:jc w:val="right"/>
              <w:rPr>
                <w:sz w:val="20"/>
              </w:rPr>
            </w:pPr>
            <w:r>
              <w:rPr>
                <w:spacing w:val="-2"/>
                <w:sz w:val="20"/>
              </w:rPr>
              <w:t>121,34</w:t>
            </w:r>
          </w:p>
        </w:tc>
        <w:tc>
          <w:tcPr>
            <w:tcW w:w="966" w:type="dxa"/>
          </w:tcPr>
          <w:p>
            <w:pPr>
              <w:pStyle w:val="TableParagraph"/>
              <w:spacing w:before="30"/>
              <w:ind w:right="179"/>
              <w:jc w:val="right"/>
              <w:rPr>
                <w:sz w:val="20"/>
              </w:rPr>
            </w:pPr>
            <w:r>
              <w:rPr>
                <w:spacing w:val="-2"/>
                <w:sz w:val="20"/>
              </w:rPr>
              <w:t>118,27</w:t>
            </w:r>
          </w:p>
        </w:tc>
        <w:tc>
          <w:tcPr>
            <w:tcW w:w="887" w:type="dxa"/>
            <w:tcBorders>
              <w:right w:val="single" w:sz="4" w:space="0" w:color="000000"/>
            </w:tcBorders>
          </w:tcPr>
          <w:p>
            <w:pPr>
              <w:pStyle w:val="TableParagraph"/>
              <w:spacing w:before="30"/>
              <w:ind w:right="95"/>
              <w:jc w:val="right"/>
              <w:rPr>
                <w:sz w:val="20"/>
              </w:rPr>
            </w:pPr>
            <w:r>
              <w:rPr>
                <w:spacing w:val="-2"/>
                <w:sz w:val="20"/>
              </w:rPr>
              <w:t>117,85</w:t>
            </w:r>
          </w:p>
        </w:tc>
      </w:tr>
      <w:tr>
        <w:trPr>
          <w:trHeight w:val="300" w:hRule="atLeast"/>
        </w:trPr>
        <w:tc>
          <w:tcPr>
            <w:tcW w:w="4741" w:type="dxa"/>
            <w:tcBorders>
              <w:left w:val="single" w:sz="4" w:space="0" w:color="000000"/>
              <w:right w:val="single" w:sz="4" w:space="0" w:color="000000"/>
            </w:tcBorders>
          </w:tcPr>
          <w:p>
            <w:pPr>
              <w:pStyle w:val="TableParagraph"/>
              <w:spacing w:before="30"/>
              <w:ind w:left="107"/>
              <w:rPr>
                <w:sz w:val="20"/>
              </w:rPr>
            </w:pPr>
            <w:r>
              <w:rPr>
                <w:sz w:val="20"/>
              </w:rPr>
              <w:t>Вредност</w:t>
            </w:r>
            <w:r>
              <w:rPr>
                <w:spacing w:val="-7"/>
                <w:sz w:val="20"/>
              </w:rPr>
              <w:t> </w:t>
            </w:r>
            <w:r>
              <w:rPr>
                <w:sz w:val="20"/>
              </w:rPr>
              <w:t>долара</w:t>
            </w:r>
            <w:r>
              <w:rPr>
                <w:spacing w:val="-2"/>
                <w:sz w:val="20"/>
              </w:rPr>
              <w:t> </w:t>
            </w:r>
            <w:r>
              <w:rPr>
                <w:sz w:val="20"/>
              </w:rPr>
              <w:t>у</w:t>
            </w:r>
            <w:r>
              <w:rPr>
                <w:spacing w:val="-9"/>
                <w:sz w:val="20"/>
              </w:rPr>
              <w:t> </w:t>
            </w:r>
            <w:r>
              <w:rPr>
                <w:sz w:val="20"/>
              </w:rPr>
              <w:t>односу</w:t>
            </w:r>
            <w:r>
              <w:rPr>
                <w:spacing w:val="-7"/>
                <w:sz w:val="20"/>
              </w:rPr>
              <w:t> </w:t>
            </w:r>
            <w:r>
              <w:rPr>
                <w:sz w:val="20"/>
              </w:rPr>
              <w:t>на</w:t>
            </w:r>
            <w:r>
              <w:rPr>
                <w:spacing w:val="-5"/>
                <w:sz w:val="20"/>
              </w:rPr>
              <w:t> </w:t>
            </w:r>
            <w:r>
              <w:rPr>
                <w:sz w:val="20"/>
              </w:rPr>
              <w:t>динар,</w:t>
            </w:r>
            <w:r>
              <w:rPr>
                <w:spacing w:val="-5"/>
                <w:sz w:val="20"/>
              </w:rPr>
              <w:t> </w:t>
            </w:r>
            <w:r>
              <w:rPr>
                <w:sz w:val="20"/>
              </w:rPr>
              <w:t>просек</w:t>
            </w:r>
            <w:r>
              <w:rPr>
                <w:spacing w:val="-5"/>
                <w:sz w:val="20"/>
              </w:rPr>
              <w:t> </w:t>
            </w:r>
            <w:r>
              <w:rPr>
                <w:spacing w:val="-2"/>
                <w:sz w:val="20"/>
              </w:rPr>
              <w:t>периода</w:t>
            </w:r>
          </w:p>
        </w:tc>
        <w:tc>
          <w:tcPr>
            <w:tcW w:w="1041" w:type="dxa"/>
            <w:tcBorders>
              <w:left w:val="single" w:sz="4" w:space="0" w:color="000000"/>
            </w:tcBorders>
          </w:tcPr>
          <w:p>
            <w:pPr>
              <w:pStyle w:val="TableParagraph"/>
              <w:spacing w:before="30"/>
              <w:ind w:right="177"/>
              <w:jc w:val="right"/>
              <w:rPr>
                <w:sz w:val="20"/>
              </w:rPr>
            </w:pPr>
            <w:r>
              <w:rPr>
                <w:spacing w:val="-2"/>
                <w:sz w:val="20"/>
              </w:rPr>
              <w:t>108,85</w:t>
            </w:r>
          </w:p>
        </w:tc>
        <w:tc>
          <w:tcPr>
            <w:tcW w:w="964" w:type="dxa"/>
          </w:tcPr>
          <w:p>
            <w:pPr>
              <w:pStyle w:val="TableParagraph"/>
              <w:spacing w:before="30"/>
              <w:ind w:right="176"/>
              <w:jc w:val="right"/>
              <w:rPr>
                <w:sz w:val="20"/>
              </w:rPr>
            </w:pPr>
            <w:r>
              <w:rPr>
                <w:spacing w:val="-2"/>
                <w:sz w:val="20"/>
              </w:rPr>
              <w:t>111,29</w:t>
            </w:r>
          </w:p>
        </w:tc>
        <w:tc>
          <w:tcPr>
            <w:tcW w:w="964" w:type="dxa"/>
          </w:tcPr>
          <w:p>
            <w:pPr>
              <w:pStyle w:val="TableParagraph"/>
              <w:spacing w:before="30"/>
              <w:ind w:right="177"/>
              <w:jc w:val="right"/>
              <w:rPr>
                <w:sz w:val="20"/>
              </w:rPr>
            </w:pPr>
            <w:r>
              <w:rPr>
                <w:spacing w:val="-2"/>
                <w:sz w:val="20"/>
              </w:rPr>
              <w:t>107,50</w:t>
            </w:r>
          </w:p>
        </w:tc>
        <w:tc>
          <w:tcPr>
            <w:tcW w:w="966" w:type="dxa"/>
          </w:tcPr>
          <w:p>
            <w:pPr>
              <w:pStyle w:val="TableParagraph"/>
              <w:spacing w:before="30"/>
              <w:ind w:right="179"/>
              <w:jc w:val="right"/>
              <w:rPr>
                <w:sz w:val="20"/>
              </w:rPr>
            </w:pPr>
            <w:r>
              <w:rPr>
                <w:spacing w:val="-2"/>
                <w:sz w:val="20"/>
              </w:rPr>
              <w:t>100,28</w:t>
            </w:r>
          </w:p>
        </w:tc>
        <w:tc>
          <w:tcPr>
            <w:tcW w:w="887" w:type="dxa"/>
            <w:tcBorders>
              <w:right w:val="single" w:sz="4" w:space="0" w:color="000000"/>
            </w:tcBorders>
          </w:tcPr>
          <w:p>
            <w:pPr>
              <w:pStyle w:val="TableParagraph"/>
              <w:spacing w:before="30"/>
              <w:ind w:right="95"/>
              <w:jc w:val="right"/>
              <w:rPr>
                <w:sz w:val="20"/>
              </w:rPr>
            </w:pPr>
            <w:r>
              <w:rPr>
                <w:spacing w:val="-2"/>
                <w:sz w:val="20"/>
              </w:rPr>
              <w:t>105,28</w:t>
            </w:r>
          </w:p>
        </w:tc>
      </w:tr>
      <w:tr>
        <w:trPr>
          <w:trHeight w:val="300" w:hRule="atLeast"/>
        </w:trPr>
        <w:tc>
          <w:tcPr>
            <w:tcW w:w="4741" w:type="dxa"/>
            <w:tcBorders>
              <w:left w:val="single" w:sz="4" w:space="0" w:color="000000"/>
              <w:right w:val="single" w:sz="4" w:space="0" w:color="000000"/>
            </w:tcBorders>
          </w:tcPr>
          <w:p>
            <w:pPr>
              <w:pStyle w:val="TableParagraph"/>
              <w:spacing w:before="30"/>
              <w:ind w:left="107"/>
              <w:rPr>
                <w:sz w:val="20"/>
              </w:rPr>
            </w:pPr>
            <w:r>
              <w:rPr>
                <w:sz w:val="20"/>
              </w:rPr>
              <w:t>Минимална</w:t>
            </w:r>
            <w:r>
              <w:rPr>
                <w:spacing w:val="-7"/>
                <w:sz w:val="20"/>
              </w:rPr>
              <w:t> </w:t>
            </w:r>
            <w:r>
              <w:rPr>
                <w:sz w:val="20"/>
              </w:rPr>
              <w:t>цена</w:t>
            </w:r>
            <w:r>
              <w:rPr>
                <w:spacing w:val="-6"/>
                <w:sz w:val="20"/>
              </w:rPr>
              <w:t> </w:t>
            </w:r>
            <w:r>
              <w:rPr>
                <w:sz w:val="20"/>
              </w:rPr>
              <w:t>рада,</w:t>
            </w:r>
            <w:r>
              <w:rPr>
                <w:spacing w:val="-7"/>
                <w:sz w:val="20"/>
              </w:rPr>
              <w:t> </w:t>
            </w:r>
            <w:r>
              <w:rPr>
                <w:sz w:val="20"/>
              </w:rPr>
              <w:t>нето,</w:t>
            </w:r>
            <w:r>
              <w:rPr>
                <w:spacing w:val="-5"/>
                <w:sz w:val="20"/>
              </w:rPr>
              <w:t> </w:t>
            </w:r>
            <w:r>
              <w:rPr>
                <w:sz w:val="20"/>
              </w:rPr>
              <w:t>РСД</w:t>
            </w:r>
            <w:r>
              <w:rPr>
                <w:spacing w:val="-6"/>
                <w:sz w:val="20"/>
              </w:rPr>
              <w:t> </w:t>
            </w:r>
            <w:r>
              <w:rPr>
                <w:sz w:val="20"/>
              </w:rPr>
              <w:t>по</w:t>
            </w:r>
            <w:r>
              <w:rPr>
                <w:spacing w:val="-6"/>
                <w:sz w:val="20"/>
              </w:rPr>
              <w:t> </w:t>
            </w:r>
            <w:r>
              <w:rPr>
                <w:sz w:val="20"/>
              </w:rPr>
              <w:t>радном</w:t>
            </w:r>
            <w:r>
              <w:rPr>
                <w:spacing w:val="-5"/>
                <w:sz w:val="20"/>
              </w:rPr>
              <w:t> </w:t>
            </w:r>
            <w:r>
              <w:rPr>
                <w:spacing w:val="-4"/>
                <w:sz w:val="20"/>
              </w:rPr>
              <w:t>часу</w:t>
            </w:r>
          </w:p>
        </w:tc>
        <w:tc>
          <w:tcPr>
            <w:tcW w:w="1041" w:type="dxa"/>
            <w:tcBorders>
              <w:left w:val="single" w:sz="4" w:space="0" w:color="000000"/>
            </w:tcBorders>
          </w:tcPr>
          <w:p>
            <w:pPr>
              <w:pStyle w:val="TableParagraph"/>
              <w:spacing w:before="30"/>
              <w:ind w:right="175"/>
              <w:jc w:val="right"/>
              <w:rPr>
                <w:sz w:val="20"/>
              </w:rPr>
            </w:pPr>
            <w:r>
              <w:rPr>
                <w:spacing w:val="-5"/>
                <w:sz w:val="20"/>
              </w:rPr>
              <w:t>121</w:t>
            </w:r>
          </w:p>
        </w:tc>
        <w:tc>
          <w:tcPr>
            <w:tcW w:w="964" w:type="dxa"/>
          </w:tcPr>
          <w:p>
            <w:pPr>
              <w:pStyle w:val="TableParagraph"/>
              <w:spacing w:before="30"/>
              <w:ind w:right="174"/>
              <w:jc w:val="right"/>
              <w:rPr>
                <w:sz w:val="20"/>
              </w:rPr>
            </w:pPr>
            <w:r>
              <w:rPr>
                <w:spacing w:val="-5"/>
                <w:sz w:val="20"/>
              </w:rPr>
              <w:t>121</w:t>
            </w:r>
          </w:p>
        </w:tc>
        <w:tc>
          <w:tcPr>
            <w:tcW w:w="964" w:type="dxa"/>
          </w:tcPr>
          <w:p>
            <w:pPr>
              <w:pStyle w:val="TableParagraph"/>
              <w:spacing w:before="30"/>
              <w:ind w:right="226"/>
              <w:jc w:val="right"/>
              <w:rPr>
                <w:sz w:val="20"/>
              </w:rPr>
            </w:pPr>
            <w:r>
              <w:rPr>
                <w:spacing w:val="-5"/>
                <w:sz w:val="20"/>
              </w:rPr>
              <w:t>130</w:t>
            </w:r>
          </w:p>
        </w:tc>
        <w:tc>
          <w:tcPr>
            <w:tcW w:w="966" w:type="dxa"/>
          </w:tcPr>
          <w:p>
            <w:pPr>
              <w:pStyle w:val="TableParagraph"/>
              <w:spacing w:before="30"/>
              <w:ind w:right="177"/>
              <w:jc w:val="right"/>
              <w:rPr>
                <w:sz w:val="20"/>
              </w:rPr>
            </w:pPr>
            <w:r>
              <w:rPr>
                <w:spacing w:val="-5"/>
                <w:sz w:val="20"/>
              </w:rPr>
              <w:t>143</w:t>
            </w:r>
          </w:p>
        </w:tc>
        <w:tc>
          <w:tcPr>
            <w:tcW w:w="887" w:type="dxa"/>
            <w:tcBorders>
              <w:right w:val="single" w:sz="4" w:space="0" w:color="000000"/>
            </w:tcBorders>
          </w:tcPr>
          <w:p>
            <w:pPr>
              <w:pStyle w:val="TableParagraph"/>
              <w:spacing w:before="30"/>
              <w:ind w:right="93"/>
              <w:jc w:val="right"/>
              <w:rPr>
                <w:sz w:val="20"/>
              </w:rPr>
            </w:pPr>
            <w:r>
              <w:rPr>
                <w:spacing w:val="-5"/>
                <w:sz w:val="20"/>
              </w:rPr>
              <w:t>155</w:t>
            </w:r>
          </w:p>
        </w:tc>
      </w:tr>
      <w:tr>
        <w:trPr>
          <w:trHeight w:val="300" w:hRule="atLeast"/>
        </w:trPr>
        <w:tc>
          <w:tcPr>
            <w:tcW w:w="4741" w:type="dxa"/>
            <w:tcBorders>
              <w:left w:val="single" w:sz="4" w:space="0" w:color="000000"/>
              <w:right w:val="single" w:sz="4" w:space="0" w:color="000000"/>
            </w:tcBorders>
          </w:tcPr>
          <w:p>
            <w:pPr>
              <w:pStyle w:val="TableParagraph"/>
              <w:spacing w:before="30"/>
              <w:ind w:left="107"/>
              <w:rPr>
                <w:sz w:val="20"/>
              </w:rPr>
            </w:pPr>
            <w:r>
              <w:rPr>
                <w:sz w:val="20"/>
              </w:rPr>
              <w:t>Нето</w:t>
            </w:r>
            <w:r>
              <w:rPr>
                <w:spacing w:val="-4"/>
                <w:sz w:val="20"/>
              </w:rPr>
              <w:t> </w:t>
            </w:r>
            <w:r>
              <w:rPr>
                <w:sz w:val="20"/>
              </w:rPr>
              <w:t>зараде,</w:t>
            </w:r>
            <w:r>
              <w:rPr>
                <w:spacing w:val="-5"/>
                <w:sz w:val="20"/>
              </w:rPr>
              <w:t> </w:t>
            </w:r>
            <w:r>
              <w:rPr>
                <w:sz w:val="20"/>
              </w:rPr>
              <w:t>просек</w:t>
            </w:r>
            <w:r>
              <w:rPr>
                <w:spacing w:val="-6"/>
                <w:sz w:val="20"/>
              </w:rPr>
              <w:t> </w:t>
            </w:r>
            <w:r>
              <w:rPr>
                <w:sz w:val="20"/>
              </w:rPr>
              <w:t>периода,</w:t>
            </w:r>
            <w:r>
              <w:rPr>
                <w:spacing w:val="-5"/>
                <w:sz w:val="20"/>
              </w:rPr>
              <w:t> </w:t>
            </w:r>
            <w:r>
              <w:rPr>
                <w:sz w:val="20"/>
              </w:rPr>
              <w:t>у</w:t>
            </w:r>
            <w:r>
              <w:rPr>
                <w:spacing w:val="-8"/>
                <w:sz w:val="20"/>
              </w:rPr>
              <w:t> </w:t>
            </w:r>
            <w:r>
              <w:rPr>
                <w:spacing w:val="-5"/>
                <w:sz w:val="20"/>
              </w:rPr>
              <w:t>РСД</w:t>
            </w:r>
          </w:p>
        </w:tc>
        <w:tc>
          <w:tcPr>
            <w:tcW w:w="1041" w:type="dxa"/>
            <w:tcBorders>
              <w:left w:val="single" w:sz="4" w:space="0" w:color="000000"/>
            </w:tcBorders>
          </w:tcPr>
          <w:p>
            <w:pPr>
              <w:pStyle w:val="TableParagraph"/>
              <w:spacing w:before="30"/>
              <w:ind w:right="177"/>
              <w:jc w:val="right"/>
              <w:rPr>
                <w:sz w:val="20"/>
              </w:rPr>
            </w:pPr>
            <w:r>
              <w:rPr>
                <w:spacing w:val="-2"/>
                <w:sz w:val="20"/>
              </w:rPr>
              <w:t>44.432</w:t>
            </w:r>
          </w:p>
        </w:tc>
        <w:tc>
          <w:tcPr>
            <w:tcW w:w="964" w:type="dxa"/>
          </w:tcPr>
          <w:p>
            <w:pPr>
              <w:pStyle w:val="TableParagraph"/>
              <w:spacing w:before="30"/>
              <w:ind w:right="176"/>
              <w:jc w:val="right"/>
              <w:rPr>
                <w:sz w:val="20"/>
              </w:rPr>
            </w:pPr>
            <w:r>
              <w:rPr>
                <w:spacing w:val="-2"/>
                <w:sz w:val="20"/>
              </w:rPr>
              <w:t>46.097</w:t>
            </w:r>
          </w:p>
        </w:tc>
        <w:tc>
          <w:tcPr>
            <w:tcW w:w="964" w:type="dxa"/>
          </w:tcPr>
          <w:p>
            <w:pPr>
              <w:pStyle w:val="TableParagraph"/>
              <w:spacing w:before="30"/>
              <w:ind w:right="177"/>
              <w:jc w:val="right"/>
              <w:rPr>
                <w:sz w:val="20"/>
              </w:rPr>
            </w:pPr>
            <w:r>
              <w:rPr>
                <w:spacing w:val="-2"/>
                <w:sz w:val="20"/>
              </w:rPr>
              <w:t>47.893</w:t>
            </w:r>
          </w:p>
        </w:tc>
        <w:tc>
          <w:tcPr>
            <w:tcW w:w="966" w:type="dxa"/>
          </w:tcPr>
          <w:p>
            <w:pPr>
              <w:pStyle w:val="TableParagraph"/>
              <w:spacing w:before="30"/>
              <w:ind w:right="179"/>
              <w:jc w:val="right"/>
              <w:rPr>
                <w:sz w:val="20"/>
              </w:rPr>
            </w:pPr>
            <w:r>
              <w:rPr>
                <w:spacing w:val="-2"/>
                <w:sz w:val="20"/>
              </w:rPr>
              <w:t>49.650</w:t>
            </w:r>
          </w:p>
        </w:tc>
        <w:tc>
          <w:tcPr>
            <w:tcW w:w="887" w:type="dxa"/>
            <w:tcBorders>
              <w:right w:val="single" w:sz="4" w:space="0" w:color="000000"/>
            </w:tcBorders>
          </w:tcPr>
          <w:p>
            <w:pPr>
              <w:pStyle w:val="TableParagraph"/>
              <w:spacing w:before="30"/>
              <w:ind w:right="95"/>
              <w:jc w:val="right"/>
              <w:rPr>
                <w:sz w:val="20"/>
              </w:rPr>
            </w:pPr>
            <w:r>
              <w:rPr>
                <w:spacing w:val="-2"/>
                <w:sz w:val="20"/>
              </w:rPr>
              <w:t>54.919</w:t>
            </w:r>
          </w:p>
        </w:tc>
      </w:tr>
      <w:tr>
        <w:trPr>
          <w:trHeight w:val="312" w:hRule="atLeast"/>
        </w:trPr>
        <w:tc>
          <w:tcPr>
            <w:tcW w:w="4741" w:type="dxa"/>
            <w:tcBorders>
              <w:left w:val="single" w:sz="4" w:space="0" w:color="000000"/>
              <w:right w:val="single" w:sz="4" w:space="0" w:color="000000"/>
            </w:tcBorders>
          </w:tcPr>
          <w:p>
            <w:pPr>
              <w:pStyle w:val="TableParagraph"/>
              <w:spacing w:before="30"/>
              <w:ind w:left="508"/>
              <w:rPr>
                <w:sz w:val="20"/>
              </w:rPr>
            </w:pPr>
            <w:r>
              <w:rPr>
                <w:sz w:val="20"/>
              </w:rPr>
              <w:t>-</w:t>
            </w:r>
            <w:r>
              <w:rPr>
                <w:spacing w:val="-7"/>
                <w:sz w:val="20"/>
              </w:rPr>
              <w:t> </w:t>
            </w:r>
            <w:r>
              <w:rPr>
                <w:sz w:val="20"/>
              </w:rPr>
              <w:t>реалне</w:t>
            </w:r>
            <w:r>
              <w:rPr>
                <w:spacing w:val="-4"/>
                <w:sz w:val="20"/>
              </w:rPr>
              <w:t> </w:t>
            </w:r>
            <w:r>
              <w:rPr>
                <w:sz w:val="20"/>
              </w:rPr>
              <w:t>стопе</w:t>
            </w:r>
            <w:r>
              <w:rPr>
                <w:spacing w:val="-5"/>
                <w:sz w:val="20"/>
              </w:rPr>
              <w:t> </w:t>
            </w:r>
            <w:r>
              <w:rPr>
                <w:spacing w:val="-4"/>
                <w:sz w:val="20"/>
              </w:rPr>
              <w:t>раста</w:t>
            </w:r>
          </w:p>
        </w:tc>
        <w:tc>
          <w:tcPr>
            <w:tcW w:w="1041" w:type="dxa"/>
            <w:tcBorders>
              <w:left w:val="single" w:sz="4" w:space="0" w:color="000000"/>
            </w:tcBorders>
          </w:tcPr>
          <w:p>
            <w:pPr>
              <w:pStyle w:val="TableParagraph"/>
              <w:spacing w:before="30"/>
              <w:ind w:right="179"/>
              <w:jc w:val="right"/>
              <w:rPr>
                <w:sz w:val="20"/>
              </w:rPr>
            </w:pPr>
            <w:r>
              <w:rPr>
                <w:spacing w:val="-4"/>
                <w:sz w:val="20"/>
              </w:rPr>
              <w:t>-</w:t>
            </w:r>
            <w:r>
              <w:rPr>
                <w:spacing w:val="-5"/>
                <w:sz w:val="20"/>
              </w:rPr>
              <w:t>2,1</w:t>
            </w:r>
          </w:p>
        </w:tc>
        <w:tc>
          <w:tcPr>
            <w:tcW w:w="964" w:type="dxa"/>
          </w:tcPr>
          <w:p>
            <w:pPr>
              <w:pStyle w:val="TableParagraph"/>
              <w:spacing w:before="30"/>
              <w:ind w:right="175"/>
              <w:jc w:val="right"/>
              <w:rPr>
                <w:sz w:val="20"/>
              </w:rPr>
            </w:pPr>
            <w:r>
              <w:rPr>
                <w:spacing w:val="-5"/>
                <w:sz w:val="20"/>
              </w:rPr>
              <w:t>2,5</w:t>
            </w:r>
          </w:p>
        </w:tc>
        <w:tc>
          <w:tcPr>
            <w:tcW w:w="964" w:type="dxa"/>
          </w:tcPr>
          <w:p>
            <w:pPr>
              <w:pStyle w:val="TableParagraph"/>
              <w:spacing w:before="30"/>
              <w:ind w:right="177"/>
              <w:jc w:val="right"/>
              <w:rPr>
                <w:sz w:val="20"/>
              </w:rPr>
            </w:pPr>
            <w:r>
              <w:rPr>
                <w:spacing w:val="-5"/>
                <w:sz w:val="20"/>
              </w:rPr>
              <w:t>0,9</w:t>
            </w:r>
          </w:p>
        </w:tc>
        <w:tc>
          <w:tcPr>
            <w:tcW w:w="966" w:type="dxa"/>
          </w:tcPr>
          <w:p>
            <w:pPr>
              <w:pStyle w:val="TableParagraph"/>
              <w:spacing w:before="30"/>
              <w:ind w:right="178"/>
              <w:jc w:val="right"/>
              <w:rPr>
                <w:sz w:val="20"/>
              </w:rPr>
            </w:pPr>
            <w:r>
              <w:rPr>
                <w:spacing w:val="-5"/>
                <w:sz w:val="20"/>
              </w:rPr>
              <w:t>4,4</w:t>
            </w:r>
          </w:p>
        </w:tc>
        <w:tc>
          <w:tcPr>
            <w:tcW w:w="887" w:type="dxa"/>
            <w:tcBorders>
              <w:right w:val="single" w:sz="4" w:space="0" w:color="000000"/>
            </w:tcBorders>
          </w:tcPr>
          <w:p>
            <w:pPr>
              <w:pStyle w:val="TableParagraph"/>
              <w:spacing w:before="30"/>
              <w:ind w:right="95"/>
              <w:jc w:val="right"/>
              <w:rPr>
                <w:sz w:val="20"/>
              </w:rPr>
            </w:pPr>
            <w:r>
              <w:rPr>
                <w:spacing w:val="-5"/>
                <w:sz w:val="20"/>
              </w:rPr>
              <w:t>8,5</w:t>
            </w:r>
          </w:p>
        </w:tc>
      </w:tr>
      <w:tr>
        <w:trPr>
          <w:trHeight w:val="289" w:hRule="atLeast"/>
        </w:trPr>
        <w:tc>
          <w:tcPr>
            <w:tcW w:w="4741" w:type="dxa"/>
            <w:tcBorders>
              <w:left w:val="single" w:sz="4" w:space="0" w:color="000000"/>
              <w:right w:val="single" w:sz="4" w:space="0" w:color="000000"/>
            </w:tcBorders>
          </w:tcPr>
          <w:p>
            <w:pPr>
              <w:pStyle w:val="TableParagraph"/>
              <w:spacing w:before="44"/>
              <w:ind w:left="107"/>
              <w:rPr>
                <w:i/>
                <w:sz w:val="18"/>
              </w:rPr>
            </w:pPr>
            <w:r>
              <w:rPr>
                <w:i/>
                <w:sz w:val="18"/>
              </w:rPr>
              <w:t>Нето</w:t>
            </w:r>
            <w:r>
              <w:rPr>
                <w:i/>
                <w:spacing w:val="-3"/>
                <w:sz w:val="18"/>
              </w:rPr>
              <w:t> </w:t>
            </w:r>
            <w:r>
              <w:rPr>
                <w:i/>
                <w:sz w:val="18"/>
              </w:rPr>
              <w:t>зараде,</w:t>
            </w:r>
            <w:r>
              <w:rPr>
                <w:i/>
                <w:spacing w:val="-3"/>
                <w:sz w:val="18"/>
              </w:rPr>
              <w:t> </w:t>
            </w:r>
            <w:r>
              <w:rPr>
                <w:i/>
                <w:sz w:val="18"/>
              </w:rPr>
              <w:t>просек</w:t>
            </w:r>
            <w:r>
              <w:rPr>
                <w:i/>
                <w:spacing w:val="-1"/>
                <w:sz w:val="18"/>
              </w:rPr>
              <w:t> </w:t>
            </w:r>
            <w:r>
              <w:rPr>
                <w:i/>
                <w:sz w:val="18"/>
              </w:rPr>
              <w:t>периода,</w:t>
            </w:r>
            <w:r>
              <w:rPr>
                <w:i/>
                <w:spacing w:val="-1"/>
                <w:sz w:val="18"/>
              </w:rPr>
              <w:t> </w:t>
            </w:r>
            <w:r>
              <w:rPr>
                <w:i/>
                <w:sz w:val="18"/>
              </w:rPr>
              <w:t>у</w:t>
            </w:r>
            <w:r>
              <w:rPr>
                <w:i/>
                <w:spacing w:val="-3"/>
                <w:sz w:val="18"/>
              </w:rPr>
              <w:t> </w:t>
            </w:r>
            <w:r>
              <w:rPr>
                <w:i/>
                <w:spacing w:val="-5"/>
                <w:sz w:val="18"/>
              </w:rPr>
              <w:t>ЕУР</w:t>
            </w:r>
          </w:p>
        </w:tc>
        <w:tc>
          <w:tcPr>
            <w:tcW w:w="1041" w:type="dxa"/>
            <w:tcBorders>
              <w:left w:val="single" w:sz="4" w:space="0" w:color="000000"/>
            </w:tcBorders>
          </w:tcPr>
          <w:p>
            <w:pPr>
              <w:pStyle w:val="TableParagraph"/>
              <w:spacing w:before="44"/>
              <w:ind w:right="175"/>
              <w:jc w:val="right"/>
              <w:rPr>
                <w:i/>
                <w:sz w:val="18"/>
              </w:rPr>
            </w:pPr>
            <w:r>
              <w:rPr>
                <w:i/>
                <w:spacing w:val="-5"/>
                <w:sz w:val="18"/>
              </w:rPr>
              <w:t>368</w:t>
            </w:r>
          </w:p>
        </w:tc>
        <w:tc>
          <w:tcPr>
            <w:tcW w:w="964" w:type="dxa"/>
          </w:tcPr>
          <w:p>
            <w:pPr>
              <w:pStyle w:val="TableParagraph"/>
              <w:spacing w:before="44"/>
              <w:ind w:right="174"/>
              <w:jc w:val="right"/>
              <w:rPr>
                <w:i/>
                <w:sz w:val="18"/>
              </w:rPr>
            </w:pPr>
            <w:r>
              <w:rPr>
                <w:i/>
                <w:spacing w:val="-5"/>
                <w:sz w:val="18"/>
              </w:rPr>
              <w:t>374</w:t>
            </w:r>
          </w:p>
        </w:tc>
        <w:tc>
          <w:tcPr>
            <w:tcW w:w="964" w:type="dxa"/>
          </w:tcPr>
          <w:p>
            <w:pPr>
              <w:pStyle w:val="TableParagraph"/>
              <w:spacing w:before="44"/>
              <w:ind w:right="175"/>
              <w:jc w:val="right"/>
              <w:rPr>
                <w:i/>
                <w:sz w:val="18"/>
              </w:rPr>
            </w:pPr>
            <w:r>
              <w:rPr>
                <w:i/>
                <w:spacing w:val="-5"/>
                <w:sz w:val="18"/>
              </w:rPr>
              <w:t>395</w:t>
            </w:r>
          </w:p>
        </w:tc>
        <w:tc>
          <w:tcPr>
            <w:tcW w:w="966" w:type="dxa"/>
          </w:tcPr>
          <w:p>
            <w:pPr>
              <w:pStyle w:val="TableParagraph"/>
              <w:spacing w:before="44"/>
              <w:ind w:right="176"/>
              <w:jc w:val="right"/>
              <w:rPr>
                <w:i/>
                <w:sz w:val="18"/>
              </w:rPr>
            </w:pPr>
            <w:r>
              <w:rPr>
                <w:i/>
                <w:spacing w:val="-5"/>
                <w:sz w:val="18"/>
              </w:rPr>
              <w:t>420</w:t>
            </w:r>
          </w:p>
        </w:tc>
        <w:tc>
          <w:tcPr>
            <w:tcW w:w="887" w:type="dxa"/>
            <w:tcBorders>
              <w:right w:val="single" w:sz="4" w:space="0" w:color="000000"/>
            </w:tcBorders>
          </w:tcPr>
          <w:p>
            <w:pPr>
              <w:pStyle w:val="TableParagraph"/>
              <w:spacing w:before="44"/>
              <w:ind w:right="93"/>
              <w:jc w:val="right"/>
              <w:rPr>
                <w:i/>
                <w:sz w:val="18"/>
              </w:rPr>
            </w:pPr>
            <w:r>
              <w:rPr>
                <w:i/>
                <w:spacing w:val="-5"/>
                <w:sz w:val="18"/>
              </w:rPr>
              <w:t>466</w:t>
            </w:r>
          </w:p>
        </w:tc>
      </w:tr>
      <w:tr>
        <w:trPr>
          <w:trHeight w:val="298" w:hRule="atLeast"/>
        </w:trPr>
        <w:tc>
          <w:tcPr>
            <w:tcW w:w="4741" w:type="dxa"/>
            <w:tcBorders>
              <w:left w:val="single" w:sz="4" w:space="0" w:color="000000"/>
              <w:right w:val="single" w:sz="4" w:space="0" w:color="000000"/>
            </w:tcBorders>
          </w:tcPr>
          <w:p>
            <w:pPr>
              <w:pStyle w:val="TableParagraph"/>
              <w:spacing w:before="29"/>
              <w:ind w:left="107"/>
              <w:rPr>
                <w:sz w:val="20"/>
              </w:rPr>
            </w:pPr>
            <w:r>
              <w:rPr>
                <w:sz w:val="20"/>
              </w:rPr>
              <w:t>Просечна</w:t>
            </w:r>
            <w:r>
              <w:rPr>
                <w:spacing w:val="-7"/>
                <w:sz w:val="20"/>
              </w:rPr>
              <w:t> </w:t>
            </w:r>
            <w:r>
              <w:rPr>
                <w:sz w:val="20"/>
              </w:rPr>
              <w:t>пензија,</w:t>
            </w:r>
            <w:r>
              <w:rPr>
                <w:spacing w:val="-6"/>
                <w:sz w:val="20"/>
              </w:rPr>
              <w:t> </w:t>
            </w:r>
            <w:r>
              <w:rPr>
                <w:sz w:val="20"/>
              </w:rPr>
              <w:t>просек</w:t>
            </w:r>
            <w:r>
              <w:rPr>
                <w:spacing w:val="-8"/>
                <w:sz w:val="20"/>
              </w:rPr>
              <w:t> </w:t>
            </w:r>
            <w:r>
              <w:rPr>
                <w:sz w:val="20"/>
              </w:rPr>
              <w:t>периода,</w:t>
            </w:r>
            <w:r>
              <w:rPr>
                <w:spacing w:val="-5"/>
                <w:sz w:val="20"/>
              </w:rPr>
              <w:t> </w:t>
            </w:r>
            <w:r>
              <w:rPr>
                <w:sz w:val="20"/>
              </w:rPr>
              <w:t>у</w:t>
            </w:r>
            <w:r>
              <w:rPr>
                <w:spacing w:val="-10"/>
                <w:sz w:val="20"/>
              </w:rPr>
              <w:t> </w:t>
            </w:r>
            <w:r>
              <w:rPr>
                <w:spacing w:val="-5"/>
                <w:sz w:val="20"/>
              </w:rPr>
              <w:t>РСД</w:t>
            </w:r>
          </w:p>
        </w:tc>
        <w:tc>
          <w:tcPr>
            <w:tcW w:w="1041" w:type="dxa"/>
            <w:tcBorders>
              <w:left w:val="single" w:sz="4" w:space="0" w:color="000000"/>
            </w:tcBorders>
          </w:tcPr>
          <w:p>
            <w:pPr>
              <w:pStyle w:val="TableParagraph"/>
              <w:spacing w:before="29"/>
              <w:ind w:right="177"/>
              <w:jc w:val="right"/>
              <w:rPr>
                <w:sz w:val="20"/>
              </w:rPr>
            </w:pPr>
            <w:r>
              <w:rPr>
                <w:spacing w:val="-2"/>
                <w:sz w:val="20"/>
              </w:rPr>
              <w:t>23.196</w:t>
            </w:r>
          </w:p>
        </w:tc>
        <w:tc>
          <w:tcPr>
            <w:tcW w:w="964" w:type="dxa"/>
          </w:tcPr>
          <w:p>
            <w:pPr>
              <w:pStyle w:val="TableParagraph"/>
              <w:spacing w:before="29"/>
              <w:ind w:right="176"/>
              <w:jc w:val="right"/>
              <w:rPr>
                <w:sz w:val="20"/>
              </w:rPr>
            </w:pPr>
            <w:r>
              <w:rPr>
                <w:spacing w:val="-2"/>
                <w:sz w:val="20"/>
              </w:rPr>
              <w:t>23.488</w:t>
            </w:r>
          </w:p>
        </w:tc>
        <w:tc>
          <w:tcPr>
            <w:tcW w:w="964" w:type="dxa"/>
          </w:tcPr>
          <w:p>
            <w:pPr>
              <w:pStyle w:val="TableParagraph"/>
              <w:spacing w:before="29"/>
              <w:ind w:right="177"/>
              <w:jc w:val="right"/>
              <w:rPr>
                <w:sz w:val="20"/>
              </w:rPr>
            </w:pPr>
            <w:r>
              <w:rPr>
                <w:spacing w:val="-2"/>
                <w:sz w:val="20"/>
              </w:rPr>
              <w:t>23.913</w:t>
            </w:r>
          </w:p>
        </w:tc>
        <w:tc>
          <w:tcPr>
            <w:tcW w:w="966" w:type="dxa"/>
          </w:tcPr>
          <w:p>
            <w:pPr>
              <w:pStyle w:val="TableParagraph"/>
              <w:spacing w:before="29"/>
              <w:ind w:right="179"/>
              <w:jc w:val="right"/>
              <w:rPr>
                <w:sz w:val="20"/>
              </w:rPr>
            </w:pPr>
            <w:r>
              <w:rPr>
                <w:spacing w:val="-2"/>
                <w:sz w:val="20"/>
              </w:rPr>
              <w:t>25.317</w:t>
            </w:r>
          </w:p>
        </w:tc>
        <w:tc>
          <w:tcPr>
            <w:tcW w:w="887" w:type="dxa"/>
            <w:tcBorders>
              <w:right w:val="single" w:sz="4" w:space="0" w:color="000000"/>
            </w:tcBorders>
          </w:tcPr>
          <w:p>
            <w:pPr>
              <w:pStyle w:val="TableParagraph"/>
              <w:spacing w:before="29"/>
              <w:ind w:right="95"/>
              <w:jc w:val="right"/>
              <w:rPr>
                <w:sz w:val="20"/>
              </w:rPr>
            </w:pPr>
            <w:r>
              <w:rPr>
                <w:spacing w:val="-2"/>
                <w:sz w:val="20"/>
              </w:rPr>
              <w:t>26.343</w:t>
            </w:r>
          </w:p>
        </w:tc>
      </w:tr>
      <w:tr>
        <w:trPr>
          <w:trHeight w:val="312" w:hRule="atLeast"/>
        </w:trPr>
        <w:tc>
          <w:tcPr>
            <w:tcW w:w="4741" w:type="dxa"/>
            <w:tcBorders>
              <w:left w:val="single" w:sz="4" w:space="0" w:color="000000"/>
              <w:right w:val="single" w:sz="4" w:space="0" w:color="000000"/>
            </w:tcBorders>
          </w:tcPr>
          <w:p>
            <w:pPr>
              <w:pStyle w:val="TableParagraph"/>
              <w:spacing w:before="30"/>
              <w:ind w:left="508"/>
              <w:rPr>
                <w:sz w:val="20"/>
              </w:rPr>
            </w:pPr>
            <w:r>
              <w:rPr>
                <w:sz w:val="20"/>
              </w:rPr>
              <w:t>-</w:t>
            </w:r>
            <w:r>
              <w:rPr>
                <w:spacing w:val="-7"/>
                <w:sz w:val="20"/>
              </w:rPr>
              <w:t> </w:t>
            </w:r>
            <w:r>
              <w:rPr>
                <w:sz w:val="20"/>
              </w:rPr>
              <w:t>реалне</w:t>
            </w:r>
            <w:r>
              <w:rPr>
                <w:spacing w:val="-4"/>
                <w:sz w:val="20"/>
              </w:rPr>
              <w:t> </w:t>
            </w:r>
            <w:r>
              <w:rPr>
                <w:sz w:val="20"/>
              </w:rPr>
              <w:t>стопе</w:t>
            </w:r>
            <w:r>
              <w:rPr>
                <w:spacing w:val="-5"/>
                <w:sz w:val="20"/>
              </w:rPr>
              <w:t> </w:t>
            </w:r>
            <w:r>
              <w:rPr>
                <w:spacing w:val="-4"/>
                <w:sz w:val="20"/>
              </w:rPr>
              <w:t>раста</w:t>
            </w:r>
          </w:p>
        </w:tc>
        <w:tc>
          <w:tcPr>
            <w:tcW w:w="1041" w:type="dxa"/>
            <w:tcBorders>
              <w:left w:val="single" w:sz="4" w:space="0" w:color="000000"/>
            </w:tcBorders>
          </w:tcPr>
          <w:p>
            <w:pPr>
              <w:pStyle w:val="TableParagraph"/>
              <w:spacing w:before="30"/>
              <w:ind w:right="179"/>
              <w:jc w:val="right"/>
              <w:rPr>
                <w:sz w:val="20"/>
              </w:rPr>
            </w:pPr>
            <w:r>
              <w:rPr>
                <w:spacing w:val="-4"/>
                <w:sz w:val="20"/>
              </w:rPr>
              <w:t>-</w:t>
            </w:r>
            <w:r>
              <w:rPr>
                <w:spacing w:val="-5"/>
                <w:sz w:val="20"/>
              </w:rPr>
              <w:t>5,5</w:t>
            </w:r>
          </w:p>
        </w:tc>
        <w:tc>
          <w:tcPr>
            <w:tcW w:w="964" w:type="dxa"/>
          </w:tcPr>
          <w:p>
            <w:pPr>
              <w:pStyle w:val="TableParagraph"/>
              <w:spacing w:before="30"/>
              <w:ind w:right="175"/>
              <w:jc w:val="right"/>
              <w:rPr>
                <w:sz w:val="20"/>
              </w:rPr>
            </w:pPr>
            <w:r>
              <w:rPr>
                <w:spacing w:val="-5"/>
                <w:sz w:val="20"/>
              </w:rPr>
              <w:t>0,1</w:t>
            </w:r>
          </w:p>
        </w:tc>
        <w:tc>
          <w:tcPr>
            <w:tcW w:w="964" w:type="dxa"/>
          </w:tcPr>
          <w:p>
            <w:pPr>
              <w:pStyle w:val="TableParagraph"/>
              <w:spacing w:before="30"/>
              <w:ind w:right="179"/>
              <w:jc w:val="right"/>
              <w:rPr>
                <w:sz w:val="20"/>
              </w:rPr>
            </w:pPr>
            <w:r>
              <w:rPr>
                <w:spacing w:val="-4"/>
                <w:sz w:val="20"/>
              </w:rPr>
              <w:t>-</w:t>
            </w:r>
            <w:r>
              <w:rPr>
                <w:spacing w:val="-5"/>
                <w:sz w:val="20"/>
              </w:rPr>
              <w:t>1,2</w:t>
            </w:r>
          </w:p>
        </w:tc>
        <w:tc>
          <w:tcPr>
            <w:tcW w:w="966" w:type="dxa"/>
          </w:tcPr>
          <w:p>
            <w:pPr>
              <w:pStyle w:val="TableParagraph"/>
              <w:spacing w:before="30"/>
              <w:ind w:right="178"/>
              <w:jc w:val="right"/>
              <w:rPr>
                <w:sz w:val="20"/>
              </w:rPr>
            </w:pPr>
            <w:r>
              <w:rPr>
                <w:spacing w:val="-5"/>
                <w:sz w:val="20"/>
              </w:rPr>
              <w:t>3,8</w:t>
            </w:r>
          </w:p>
        </w:tc>
        <w:tc>
          <w:tcPr>
            <w:tcW w:w="887" w:type="dxa"/>
            <w:tcBorders>
              <w:right w:val="single" w:sz="4" w:space="0" w:color="000000"/>
            </w:tcBorders>
          </w:tcPr>
          <w:p>
            <w:pPr>
              <w:pStyle w:val="TableParagraph"/>
              <w:spacing w:before="30"/>
              <w:ind w:right="95"/>
              <w:jc w:val="right"/>
              <w:rPr>
                <w:sz w:val="20"/>
              </w:rPr>
            </w:pPr>
            <w:r>
              <w:rPr>
                <w:spacing w:val="-5"/>
                <w:sz w:val="20"/>
              </w:rPr>
              <w:t>2,3</w:t>
            </w:r>
          </w:p>
        </w:tc>
      </w:tr>
      <w:tr>
        <w:trPr>
          <w:trHeight w:val="255" w:hRule="atLeast"/>
        </w:trPr>
        <w:tc>
          <w:tcPr>
            <w:tcW w:w="4741" w:type="dxa"/>
            <w:tcBorders>
              <w:left w:val="single" w:sz="4" w:space="0" w:color="000000"/>
              <w:bottom w:val="single" w:sz="4" w:space="0" w:color="000000"/>
              <w:right w:val="single" w:sz="4" w:space="0" w:color="000000"/>
            </w:tcBorders>
          </w:tcPr>
          <w:p>
            <w:pPr>
              <w:pStyle w:val="TableParagraph"/>
              <w:spacing w:line="191" w:lineRule="exact" w:before="44"/>
              <w:ind w:left="107"/>
              <w:rPr>
                <w:i/>
                <w:sz w:val="18"/>
              </w:rPr>
            </w:pPr>
            <w:r>
              <w:rPr>
                <w:i/>
                <w:sz w:val="18"/>
              </w:rPr>
              <w:t>Просечна</w:t>
            </w:r>
            <w:r>
              <w:rPr>
                <w:i/>
                <w:spacing w:val="-1"/>
                <w:sz w:val="18"/>
              </w:rPr>
              <w:t> </w:t>
            </w:r>
            <w:r>
              <w:rPr>
                <w:i/>
                <w:sz w:val="18"/>
              </w:rPr>
              <w:t>пензија,</w:t>
            </w:r>
            <w:r>
              <w:rPr>
                <w:i/>
                <w:spacing w:val="-4"/>
                <w:sz w:val="18"/>
              </w:rPr>
              <w:t> </w:t>
            </w:r>
            <w:r>
              <w:rPr>
                <w:i/>
                <w:sz w:val="18"/>
              </w:rPr>
              <w:t>просек</w:t>
            </w:r>
            <w:r>
              <w:rPr>
                <w:i/>
                <w:spacing w:val="-1"/>
                <w:sz w:val="18"/>
              </w:rPr>
              <w:t> </w:t>
            </w:r>
            <w:r>
              <w:rPr>
                <w:i/>
                <w:sz w:val="18"/>
              </w:rPr>
              <w:t>периода,</w:t>
            </w:r>
            <w:r>
              <w:rPr>
                <w:i/>
                <w:spacing w:val="-2"/>
                <w:sz w:val="18"/>
              </w:rPr>
              <w:t> </w:t>
            </w:r>
            <w:r>
              <w:rPr>
                <w:i/>
                <w:sz w:val="18"/>
              </w:rPr>
              <w:t>у</w:t>
            </w:r>
            <w:r>
              <w:rPr>
                <w:i/>
                <w:spacing w:val="-2"/>
                <w:sz w:val="18"/>
              </w:rPr>
              <w:t> </w:t>
            </w:r>
            <w:r>
              <w:rPr>
                <w:i/>
                <w:spacing w:val="-5"/>
                <w:sz w:val="18"/>
              </w:rPr>
              <w:t>ЕУР</w:t>
            </w:r>
          </w:p>
        </w:tc>
        <w:tc>
          <w:tcPr>
            <w:tcW w:w="1041" w:type="dxa"/>
            <w:tcBorders>
              <w:left w:val="single" w:sz="4" w:space="0" w:color="000000"/>
              <w:bottom w:val="single" w:sz="4" w:space="0" w:color="000000"/>
            </w:tcBorders>
          </w:tcPr>
          <w:p>
            <w:pPr>
              <w:pStyle w:val="TableParagraph"/>
              <w:spacing w:line="191" w:lineRule="exact" w:before="44"/>
              <w:ind w:right="175"/>
              <w:jc w:val="right"/>
              <w:rPr>
                <w:i/>
                <w:sz w:val="18"/>
              </w:rPr>
            </w:pPr>
            <w:r>
              <w:rPr>
                <w:i/>
                <w:spacing w:val="-5"/>
                <w:sz w:val="18"/>
              </w:rPr>
              <w:t>192</w:t>
            </w:r>
          </w:p>
        </w:tc>
        <w:tc>
          <w:tcPr>
            <w:tcW w:w="964" w:type="dxa"/>
            <w:tcBorders>
              <w:bottom w:val="single" w:sz="4" w:space="0" w:color="000000"/>
            </w:tcBorders>
          </w:tcPr>
          <w:p>
            <w:pPr>
              <w:pStyle w:val="TableParagraph"/>
              <w:spacing w:line="191" w:lineRule="exact" w:before="44"/>
              <w:ind w:right="174"/>
              <w:jc w:val="right"/>
              <w:rPr>
                <w:i/>
                <w:sz w:val="18"/>
              </w:rPr>
            </w:pPr>
            <w:r>
              <w:rPr>
                <w:i/>
                <w:spacing w:val="-5"/>
                <w:sz w:val="18"/>
              </w:rPr>
              <w:t>191</w:t>
            </w:r>
          </w:p>
        </w:tc>
        <w:tc>
          <w:tcPr>
            <w:tcW w:w="964" w:type="dxa"/>
            <w:tcBorders>
              <w:bottom w:val="single" w:sz="4" w:space="0" w:color="000000"/>
            </w:tcBorders>
          </w:tcPr>
          <w:p>
            <w:pPr>
              <w:pStyle w:val="TableParagraph"/>
              <w:spacing w:line="191" w:lineRule="exact" w:before="44"/>
              <w:ind w:right="175"/>
              <w:jc w:val="right"/>
              <w:rPr>
                <w:i/>
                <w:sz w:val="18"/>
              </w:rPr>
            </w:pPr>
            <w:r>
              <w:rPr>
                <w:i/>
                <w:spacing w:val="-5"/>
                <w:sz w:val="18"/>
              </w:rPr>
              <w:t>197</w:t>
            </w:r>
          </w:p>
        </w:tc>
        <w:tc>
          <w:tcPr>
            <w:tcW w:w="966" w:type="dxa"/>
            <w:tcBorders>
              <w:bottom w:val="single" w:sz="4" w:space="0" w:color="000000"/>
            </w:tcBorders>
          </w:tcPr>
          <w:p>
            <w:pPr>
              <w:pStyle w:val="TableParagraph"/>
              <w:spacing w:line="191" w:lineRule="exact" w:before="44"/>
              <w:ind w:right="176"/>
              <w:jc w:val="right"/>
              <w:rPr>
                <w:i/>
                <w:sz w:val="18"/>
              </w:rPr>
            </w:pPr>
            <w:r>
              <w:rPr>
                <w:i/>
                <w:spacing w:val="-5"/>
                <w:sz w:val="18"/>
              </w:rPr>
              <w:t>214</w:t>
            </w:r>
          </w:p>
        </w:tc>
        <w:tc>
          <w:tcPr>
            <w:tcW w:w="887" w:type="dxa"/>
            <w:tcBorders>
              <w:bottom w:val="single" w:sz="4" w:space="0" w:color="000000"/>
              <w:right w:val="single" w:sz="4" w:space="0" w:color="000000"/>
            </w:tcBorders>
          </w:tcPr>
          <w:p>
            <w:pPr>
              <w:pStyle w:val="TableParagraph"/>
              <w:spacing w:line="191" w:lineRule="exact" w:before="44"/>
              <w:ind w:right="93"/>
              <w:jc w:val="right"/>
              <w:rPr>
                <w:i/>
                <w:sz w:val="18"/>
              </w:rPr>
            </w:pPr>
            <w:r>
              <w:rPr>
                <w:i/>
                <w:spacing w:val="-5"/>
                <w:sz w:val="18"/>
              </w:rPr>
              <w:t>224</w:t>
            </w:r>
          </w:p>
        </w:tc>
      </w:tr>
    </w:tbl>
    <w:p>
      <w:pPr>
        <w:spacing w:before="0"/>
        <w:ind w:left="360" w:right="0" w:firstLine="0"/>
        <w:jc w:val="left"/>
        <w:rPr>
          <w:sz w:val="20"/>
        </w:rPr>
      </w:pPr>
      <w:r>
        <w:rPr>
          <w:sz w:val="20"/>
        </w:rPr>
        <w:t>*</w:t>
      </w:r>
      <w:r>
        <w:rPr>
          <w:spacing w:val="-9"/>
          <w:sz w:val="20"/>
        </w:rPr>
        <w:t> </w:t>
      </w:r>
      <w:r>
        <w:rPr>
          <w:sz w:val="20"/>
        </w:rPr>
        <w:t>Прелиминарни</w:t>
      </w:r>
      <w:r>
        <w:rPr>
          <w:spacing w:val="-8"/>
          <w:sz w:val="20"/>
        </w:rPr>
        <w:t> </w:t>
      </w:r>
      <w:r>
        <w:rPr>
          <w:sz w:val="20"/>
        </w:rPr>
        <w:t>годишњи</w:t>
      </w:r>
      <w:r>
        <w:rPr>
          <w:spacing w:val="-7"/>
          <w:sz w:val="20"/>
        </w:rPr>
        <w:t> </w:t>
      </w:r>
      <w:r>
        <w:rPr>
          <w:spacing w:val="-2"/>
          <w:sz w:val="20"/>
        </w:rPr>
        <w:t>податак.</w:t>
      </w:r>
    </w:p>
    <w:p>
      <w:pPr>
        <w:spacing w:before="0"/>
        <w:ind w:left="360" w:right="0" w:firstLine="0"/>
        <w:jc w:val="left"/>
        <w:rPr>
          <w:i/>
          <w:sz w:val="20"/>
        </w:rPr>
      </w:pPr>
      <w:r>
        <w:rPr>
          <w:i/>
          <w:sz w:val="20"/>
        </w:rPr>
        <w:t>Извор:</w:t>
      </w:r>
      <w:r>
        <w:rPr>
          <w:i/>
          <w:spacing w:val="-5"/>
          <w:sz w:val="20"/>
        </w:rPr>
        <w:t> </w:t>
      </w:r>
      <w:r>
        <w:rPr>
          <w:i/>
          <w:sz w:val="20"/>
        </w:rPr>
        <w:t>РЗС,</w:t>
      </w:r>
      <w:r>
        <w:rPr>
          <w:i/>
          <w:spacing w:val="-4"/>
          <w:sz w:val="20"/>
        </w:rPr>
        <w:t> </w:t>
      </w:r>
      <w:r>
        <w:rPr>
          <w:i/>
          <w:sz w:val="20"/>
        </w:rPr>
        <w:t>НБС,</w:t>
      </w:r>
      <w:r>
        <w:rPr>
          <w:i/>
          <w:spacing w:val="-4"/>
          <w:sz w:val="20"/>
        </w:rPr>
        <w:t> </w:t>
      </w:r>
      <w:r>
        <w:rPr>
          <w:i/>
          <w:sz w:val="20"/>
        </w:rPr>
        <w:t>МФ</w:t>
      </w:r>
      <w:r>
        <w:rPr>
          <w:i/>
          <w:spacing w:val="-5"/>
          <w:sz w:val="20"/>
        </w:rPr>
        <w:t> </w:t>
      </w:r>
      <w:r>
        <w:rPr>
          <w:i/>
          <w:sz w:val="20"/>
        </w:rPr>
        <w:t>и</w:t>
      </w:r>
      <w:r>
        <w:rPr>
          <w:i/>
          <w:spacing w:val="-3"/>
          <w:sz w:val="20"/>
        </w:rPr>
        <w:t> </w:t>
      </w:r>
      <w:r>
        <w:rPr>
          <w:i/>
          <w:spacing w:val="-2"/>
          <w:sz w:val="20"/>
        </w:rPr>
        <w:t>РФПИО</w:t>
      </w:r>
    </w:p>
    <w:p>
      <w:pPr>
        <w:pStyle w:val="BodyText"/>
        <w:spacing w:before="223"/>
        <w:ind w:right="715" w:firstLine="719"/>
      </w:pPr>
      <w:r>
        <w:rPr/>
        <w:t>Привредни раст Србије, кључан макроекономски показатељ од ког зависи одрживо повећање</w:t>
      </w:r>
      <w:r>
        <w:rPr>
          <w:spacing w:val="-15"/>
        </w:rPr>
        <w:t> </w:t>
      </w:r>
      <w:r>
        <w:rPr/>
        <w:t>животног</w:t>
      </w:r>
      <w:r>
        <w:rPr>
          <w:spacing w:val="-13"/>
        </w:rPr>
        <w:t> </w:t>
      </w:r>
      <w:r>
        <w:rPr/>
        <w:t>стандарда</w:t>
      </w:r>
      <w:r>
        <w:rPr>
          <w:spacing w:val="-12"/>
        </w:rPr>
        <w:t> </w:t>
      </w:r>
      <w:r>
        <w:rPr/>
        <w:t>становника,</w:t>
      </w:r>
      <w:r>
        <w:rPr>
          <w:spacing w:val="-11"/>
        </w:rPr>
        <w:t> </w:t>
      </w:r>
      <w:r>
        <w:rPr/>
        <w:t>у</w:t>
      </w:r>
      <w:r>
        <w:rPr>
          <w:spacing w:val="-15"/>
        </w:rPr>
        <w:t> </w:t>
      </w:r>
      <w:r>
        <w:rPr/>
        <w:t>протеклих</w:t>
      </w:r>
      <w:r>
        <w:rPr>
          <w:spacing w:val="-11"/>
        </w:rPr>
        <w:t> </w:t>
      </w:r>
      <w:r>
        <w:rPr/>
        <w:t>пет</w:t>
      </w:r>
      <w:r>
        <w:rPr>
          <w:spacing w:val="-12"/>
        </w:rPr>
        <w:t> </w:t>
      </w:r>
      <w:r>
        <w:rPr/>
        <w:t>година</w:t>
      </w:r>
      <w:r>
        <w:rPr>
          <w:spacing w:val="-12"/>
        </w:rPr>
        <w:t> </w:t>
      </w:r>
      <w:r>
        <w:rPr/>
        <w:t>карактеришу</w:t>
      </w:r>
      <w:r>
        <w:rPr>
          <w:spacing w:val="-15"/>
        </w:rPr>
        <w:t> </w:t>
      </w:r>
      <w:r>
        <w:rPr/>
        <w:t>осцилације по</w:t>
      </w:r>
      <w:r>
        <w:rPr>
          <w:spacing w:val="-8"/>
        </w:rPr>
        <w:t> </w:t>
      </w:r>
      <w:r>
        <w:rPr/>
        <w:t>годинама.</w:t>
      </w:r>
      <w:r>
        <w:rPr>
          <w:spacing w:val="-8"/>
        </w:rPr>
        <w:t> </w:t>
      </w:r>
      <w:r>
        <w:rPr/>
        <w:t>Максимална</w:t>
      </w:r>
      <w:r>
        <w:rPr>
          <w:spacing w:val="-8"/>
        </w:rPr>
        <w:t> </w:t>
      </w:r>
      <w:r>
        <w:rPr/>
        <w:t>годишња</w:t>
      </w:r>
      <w:r>
        <w:rPr>
          <w:spacing w:val="-9"/>
        </w:rPr>
        <w:t> </w:t>
      </w:r>
      <w:r>
        <w:rPr/>
        <w:t>стопа</w:t>
      </w:r>
      <w:r>
        <w:rPr>
          <w:spacing w:val="-9"/>
        </w:rPr>
        <w:t> </w:t>
      </w:r>
      <w:r>
        <w:rPr/>
        <w:t>реалног</w:t>
      </w:r>
      <w:r>
        <w:rPr>
          <w:spacing w:val="-8"/>
        </w:rPr>
        <w:t> </w:t>
      </w:r>
      <w:r>
        <w:rPr/>
        <w:t>раста</w:t>
      </w:r>
      <w:r>
        <w:rPr>
          <w:spacing w:val="-7"/>
        </w:rPr>
        <w:t> </w:t>
      </w:r>
      <w:r>
        <w:rPr/>
        <w:t>бруто</w:t>
      </w:r>
      <w:r>
        <w:rPr>
          <w:spacing w:val="-8"/>
        </w:rPr>
        <w:t> </w:t>
      </w:r>
      <w:r>
        <w:rPr/>
        <w:t>домаћег</w:t>
      </w:r>
      <w:r>
        <w:rPr>
          <w:spacing w:val="-8"/>
        </w:rPr>
        <w:t> </w:t>
      </w:r>
      <w:r>
        <w:rPr/>
        <w:t>производа</w:t>
      </w:r>
      <w:r>
        <w:rPr>
          <w:spacing w:val="-7"/>
        </w:rPr>
        <w:t> </w:t>
      </w:r>
      <w:r>
        <w:rPr/>
        <w:t>(БДП)</w:t>
      </w:r>
      <w:r>
        <w:rPr>
          <w:spacing w:val="-7"/>
        </w:rPr>
        <w:t> </w:t>
      </w:r>
      <w:r>
        <w:rPr/>
        <w:t>од 4,5%</w:t>
      </w:r>
      <w:r>
        <w:rPr>
          <w:spacing w:val="-7"/>
        </w:rPr>
        <w:t> </w:t>
      </w:r>
      <w:r>
        <w:rPr/>
        <w:t>достигнута</w:t>
      </w:r>
      <w:r>
        <w:rPr>
          <w:spacing w:val="-6"/>
        </w:rPr>
        <w:t> </w:t>
      </w:r>
      <w:r>
        <w:rPr/>
        <w:t>је</w:t>
      </w:r>
      <w:r>
        <w:rPr>
          <w:spacing w:val="-3"/>
        </w:rPr>
        <w:t> </w:t>
      </w:r>
      <w:r>
        <w:rPr/>
        <w:t>у</w:t>
      </w:r>
      <w:r>
        <w:rPr>
          <w:spacing w:val="-10"/>
        </w:rPr>
        <w:t> </w:t>
      </w:r>
      <w:r>
        <w:rPr/>
        <w:t>2018.</w:t>
      </w:r>
      <w:r>
        <w:rPr>
          <w:spacing w:val="-6"/>
        </w:rPr>
        <w:t> </w:t>
      </w:r>
      <w:r>
        <w:rPr/>
        <w:t>години,</w:t>
      </w:r>
      <w:r>
        <w:rPr>
          <w:spacing w:val="-8"/>
        </w:rPr>
        <w:t> </w:t>
      </w:r>
      <w:r>
        <w:rPr/>
        <w:t>док</w:t>
      </w:r>
      <w:r>
        <w:rPr>
          <w:spacing w:val="-7"/>
        </w:rPr>
        <w:t> </w:t>
      </w:r>
      <w:r>
        <w:rPr/>
        <w:t>је</w:t>
      </w:r>
      <w:r>
        <w:rPr>
          <w:spacing w:val="-4"/>
        </w:rPr>
        <w:t> </w:t>
      </w:r>
      <w:r>
        <w:rPr/>
        <w:t>у</w:t>
      </w:r>
      <w:r>
        <w:rPr>
          <w:spacing w:val="-12"/>
        </w:rPr>
        <w:t> </w:t>
      </w:r>
      <w:r>
        <w:rPr/>
        <w:t>2017.</w:t>
      </w:r>
      <w:r>
        <w:rPr>
          <w:spacing w:val="-6"/>
        </w:rPr>
        <w:t> </w:t>
      </w:r>
      <w:r>
        <w:rPr/>
        <w:t>години</w:t>
      </w:r>
      <w:r>
        <w:rPr>
          <w:spacing w:val="-4"/>
        </w:rPr>
        <w:t> </w:t>
      </w:r>
      <w:r>
        <w:rPr/>
        <w:t>српска</w:t>
      </w:r>
      <w:r>
        <w:rPr>
          <w:spacing w:val="-7"/>
        </w:rPr>
        <w:t> </w:t>
      </w:r>
      <w:r>
        <w:rPr/>
        <w:t>привреда</w:t>
      </w:r>
      <w:r>
        <w:rPr>
          <w:spacing w:val="-7"/>
        </w:rPr>
        <w:t> </w:t>
      </w:r>
      <w:r>
        <w:rPr/>
        <w:t>остварила</w:t>
      </w:r>
      <w:r>
        <w:rPr>
          <w:spacing w:val="-7"/>
        </w:rPr>
        <w:t> </w:t>
      </w:r>
      <w:r>
        <w:rPr/>
        <w:t>раст</w:t>
      </w:r>
      <w:r>
        <w:rPr>
          <w:spacing w:val="-5"/>
        </w:rPr>
        <w:t> </w:t>
      </w:r>
      <w:r>
        <w:rPr/>
        <w:t>од 2,1% пре свега услед лоших временских услова који су ометали производне процесе и негативно утицали на динамику грађевинске активности и пољопривредне производње. Успоравање</w:t>
      </w:r>
      <w:r>
        <w:rPr>
          <w:spacing w:val="-12"/>
        </w:rPr>
        <w:t> </w:t>
      </w:r>
      <w:r>
        <w:rPr/>
        <w:t>привредног</w:t>
      </w:r>
      <w:r>
        <w:rPr>
          <w:spacing w:val="-11"/>
        </w:rPr>
        <w:t> </w:t>
      </w:r>
      <w:r>
        <w:rPr/>
        <w:t>раста</w:t>
      </w:r>
      <w:r>
        <w:rPr>
          <w:spacing w:val="-10"/>
        </w:rPr>
        <w:t> </w:t>
      </w:r>
      <w:r>
        <w:rPr/>
        <w:t>бележи</w:t>
      </w:r>
      <w:r>
        <w:rPr>
          <w:spacing w:val="-10"/>
        </w:rPr>
        <w:t> </w:t>
      </w:r>
      <w:r>
        <w:rPr/>
        <w:t>се</w:t>
      </w:r>
      <w:r>
        <w:rPr>
          <w:spacing w:val="-9"/>
        </w:rPr>
        <w:t> </w:t>
      </w:r>
      <w:r>
        <w:rPr/>
        <w:t>у</w:t>
      </w:r>
      <w:r>
        <w:rPr>
          <w:spacing w:val="-14"/>
        </w:rPr>
        <w:t> </w:t>
      </w:r>
      <w:r>
        <w:rPr/>
        <w:t>2019.</w:t>
      </w:r>
      <w:r>
        <w:rPr>
          <w:spacing w:val="-11"/>
        </w:rPr>
        <w:t> </w:t>
      </w:r>
      <w:r>
        <w:rPr/>
        <w:t>години,</w:t>
      </w:r>
      <w:r>
        <w:rPr>
          <w:spacing w:val="-11"/>
        </w:rPr>
        <w:t> </w:t>
      </w:r>
      <w:r>
        <w:rPr/>
        <w:t>тако</w:t>
      </w:r>
      <w:r>
        <w:rPr>
          <w:spacing w:val="-10"/>
        </w:rPr>
        <w:t> </w:t>
      </w:r>
      <w:r>
        <w:rPr/>
        <w:t>да</w:t>
      </w:r>
      <w:r>
        <w:rPr>
          <w:spacing w:val="-11"/>
        </w:rPr>
        <w:t> </w:t>
      </w:r>
      <w:r>
        <w:rPr/>
        <w:t>je</w:t>
      </w:r>
      <w:r>
        <w:rPr>
          <w:spacing w:val="-11"/>
        </w:rPr>
        <w:t> </w:t>
      </w:r>
      <w:r>
        <w:rPr/>
        <w:t>стопа</w:t>
      </w:r>
      <w:r>
        <w:rPr>
          <w:spacing w:val="-11"/>
        </w:rPr>
        <w:t> </w:t>
      </w:r>
      <w:r>
        <w:rPr/>
        <w:t>реалног</w:t>
      </w:r>
      <w:r>
        <w:rPr>
          <w:spacing w:val="-10"/>
        </w:rPr>
        <w:t> </w:t>
      </w:r>
      <w:r>
        <w:rPr/>
        <w:t>раста</w:t>
      </w:r>
      <w:r>
        <w:rPr>
          <w:spacing w:val="-11"/>
        </w:rPr>
        <w:t> </w:t>
      </w:r>
      <w:r>
        <w:rPr/>
        <w:t>БДП износила 4,2%. Најбрже растуће делатности у 2019. години биле су грађевинарство и информисање и комуникације. Раст у грађевинарству је под снажним утицајем приватних инвестиција</w:t>
      </w:r>
      <w:r>
        <w:rPr>
          <w:spacing w:val="-3"/>
        </w:rPr>
        <w:t> </w:t>
      </w:r>
      <w:r>
        <w:rPr/>
        <w:t>и</w:t>
      </w:r>
      <w:r>
        <w:rPr>
          <w:spacing w:val="-3"/>
        </w:rPr>
        <w:t> </w:t>
      </w:r>
      <w:r>
        <w:rPr/>
        <w:t>инвестиција</w:t>
      </w:r>
      <w:r>
        <w:rPr>
          <w:spacing w:val="-3"/>
        </w:rPr>
        <w:t> </w:t>
      </w:r>
      <w:r>
        <w:rPr/>
        <w:t>државе</w:t>
      </w:r>
      <w:r>
        <w:rPr>
          <w:spacing w:val="-1"/>
        </w:rPr>
        <w:t> </w:t>
      </w:r>
      <w:r>
        <w:rPr/>
        <w:t>у</w:t>
      </w:r>
      <w:r>
        <w:rPr>
          <w:spacing w:val="-8"/>
        </w:rPr>
        <w:t> </w:t>
      </w:r>
      <w:r>
        <w:rPr/>
        <w:t>инфраструктуру,</w:t>
      </w:r>
      <w:r>
        <w:rPr>
          <w:spacing w:val="-1"/>
        </w:rPr>
        <w:t> </w:t>
      </w:r>
      <w:r>
        <w:rPr/>
        <w:t>док</w:t>
      </w:r>
      <w:r>
        <w:rPr>
          <w:spacing w:val="-2"/>
        </w:rPr>
        <w:t> </w:t>
      </w:r>
      <w:r>
        <w:rPr/>
        <w:t>је</w:t>
      </w:r>
      <w:r>
        <w:rPr>
          <w:spacing w:val="-3"/>
        </w:rPr>
        <w:t> </w:t>
      </w:r>
      <w:r>
        <w:rPr/>
        <w:t>раст</w:t>
      </w:r>
      <w:r>
        <w:rPr>
          <w:spacing w:val="-3"/>
        </w:rPr>
        <w:t> </w:t>
      </w:r>
      <w:r>
        <w:rPr/>
        <w:t>делатности</w:t>
      </w:r>
      <w:r>
        <w:rPr>
          <w:spacing w:val="-2"/>
        </w:rPr>
        <w:t> </w:t>
      </w:r>
      <w:r>
        <w:rPr/>
        <w:t>информисање и комуникације условљен снажним растом ИКТ сектора.</w:t>
      </w:r>
    </w:p>
    <w:p>
      <w:pPr>
        <w:pStyle w:val="BodyText"/>
        <w:spacing w:before="121"/>
        <w:ind w:right="715" w:firstLine="719"/>
      </w:pPr>
      <w:r>
        <w:rPr/>
        <w:t>Повољна глобална економска кретања, посебно опоравак у ЕУ као главном економском</w:t>
      </w:r>
      <w:r>
        <w:rPr>
          <w:spacing w:val="-7"/>
        </w:rPr>
        <w:t> </w:t>
      </w:r>
      <w:r>
        <w:rPr/>
        <w:t>партнеру</w:t>
      </w:r>
      <w:r>
        <w:rPr>
          <w:spacing w:val="-12"/>
        </w:rPr>
        <w:t> </w:t>
      </w:r>
      <w:r>
        <w:rPr/>
        <w:t>Србије,</w:t>
      </w:r>
      <w:r>
        <w:rPr>
          <w:spacing w:val="-6"/>
        </w:rPr>
        <w:t> </w:t>
      </w:r>
      <w:r>
        <w:rPr/>
        <w:t>довела</w:t>
      </w:r>
      <w:r>
        <w:rPr>
          <w:spacing w:val="-7"/>
        </w:rPr>
        <w:t> </w:t>
      </w:r>
      <w:r>
        <w:rPr/>
        <w:t>су</w:t>
      </w:r>
      <w:r>
        <w:rPr>
          <w:spacing w:val="-11"/>
        </w:rPr>
        <w:t> </w:t>
      </w:r>
      <w:r>
        <w:rPr/>
        <w:t>до</w:t>
      </w:r>
      <w:r>
        <w:rPr>
          <w:spacing w:val="-6"/>
        </w:rPr>
        <w:t> </w:t>
      </w:r>
      <w:r>
        <w:rPr/>
        <w:t>побољшања</w:t>
      </w:r>
      <w:r>
        <w:rPr>
          <w:spacing w:val="-7"/>
        </w:rPr>
        <w:t> </w:t>
      </w:r>
      <w:r>
        <w:rPr/>
        <w:t>стања</w:t>
      </w:r>
      <w:r>
        <w:rPr>
          <w:spacing w:val="-4"/>
        </w:rPr>
        <w:t> </w:t>
      </w:r>
      <w:r>
        <w:rPr/>
        <w:t>у</w:t>
      </w:r>
      <w:r>
        <w:rPr>
          <w:spacing w:val="-10"/>
        </w:rPr>
        <w:t> </w:t>
      </w:r>
      <w:r>
        <w:rPr/>
        <w:t>јавним</w:t>
      </w:r>
      <w:r>
        <w:rPr>
          <w:spacing w:val="-4"/>
        </w:rPr>
        <w:t> </w:t>
      </w:r>
      <w:r>
        <w:rPr/>
        <w:t>финансијама</w:t>
      </w:r>
      <w:r>
        <w:rPr>
          <w:spacing w:val="-5"/>
        </w:rPr>
        <w:t> </w:t>
      </w:r>
      <w:r>
        <w:rPr/>
        <w:t>што</w:t>
      </w:r>
      <w:r>
        <w:rPr>
          <w:spacing w:val="-5"/>
        </w:rPr>
        <w:t> </w:t>
      </w:r>
      <w:r>
        <w:rPr/>
        <w:t>се одразило</w:t>
      </w:r>
      <w:r>
        <w:rPr>
          <w:spacing w:val="-6"/>
        </w:rPr>
        <w:t> </w:t>
      </w:r>
      <w:r>
        <w:rPr/>
        <w:t>и</w:t>
      </w:r>
      <w:r>
        <w:rPr>
          <w:spacing w:val="-5"/>
        </w:rPr>
        <w:t> </w:t>
      </w:r>
      <w:r>
        <w:rPr/>
        <w:t>на</w:t>
      </w:r>
      <w:r>
        <w:rPr>
          <w:spacing w:val="-4"/>
        </w:rPr>
        <w:t> </w:t>
      </w:r>
      <w:r>
        <w:rPr/>
        <w:t>успоравање</w:t>
      </w:r>
      <w:r>
        <w:rPr>
          <w:spacing w:val="-7"/>
        </w:rPr>
        <w:t> </w:t>
      </w:r>
      <w:r>
        <w:rPr/>
        <w:t>раста</w:t>
      </w:r>
      <w:r>
        <w:rPr>
          <w:spacing w:val="-2"/>
        </w:rPr>
        <w:t> </w:t>
      </w:r>
      <w:r>
        <w:rPr/>
        <w:t>учешћа</w:t>
      </w:r>
      <w:r>
        <w:rPr>
          <w:spacing w:val="-7"/>
        </w:rPr>
        <w:t> </w:t>
      </w:r>
      <w:r>
        <w:rPr/>
        <w:t>јавног</w:t>
      </w:r>
      <w:r>
        <w:rPr>
          <w:spacing w:val="-6"/>
        </w:rPr>
        <w:t> </w:t>
      </w:r>
      <w:r>
        <w:rPr/>
        <w:t>дуга</w:t>
      </w:r>
      <w:r>
        <w:rPr>
          <w:spacing w:val="-2"/>
        </w:rPr>
        <w:t> </w:t>
      </w:r>
      <w:r>
        <w:rPr/>
        <w:t>у</w:t>
      </w:r>
      <w:r>
        <w:rPr>
          <w:spacing w:val="-8"/>
        </w:rPr>
        <w:t> </w:t>
      </w:r>
      <w:r>
        <w:rPr/>
        <w:t>БДП-у.</w:t>
      </w:r>
      <w:r>
        <w:rPr>
          <w:spacing w:val="-6"/>
        </w:rPr>
        <w:t> </w:t>
      </w:r>
      <w:r>
        <w:rPr/>
        <w:t>Тренд</w:t>
      </w:r>
      <w:r>
        <w:rPr>
          <w:spacing w:val="-6"/>
        </w:rPr>
        <w:t> </w:t>
      </w:r>
      <w:r>
        <w:rPr/>
        <w:t>смањивања</w:t>
      </w:r>
      <w:r>
        <w:rPr>
          <w:spacing w:val="-5"/>
        </w:rPr>
        <w:t> </w:t>
      </w:r>
      <w:r>
        <w:rPr/>
        <w:t>јавног</w:t>
      </w:r>
      <w:r>
        <w:rPr>
          <w:spacing w:val="-6"/>
        </w:rPr>
        <w:t> </w:t>
      </w:r>
      <w:r>
        <w:rPr/>
        <w:t>дуга бележи</w:t>
      </w:r>
      <w:r>
        <w:rPr>
          <w:spacing w:val="-7"/>
        </w:rPr>
        <w:t> </w:t>
      </w:r>
      <w:r>
        <w:rPr/>
        <w:t>се</w:t>
      </w:r>
      <w:r>
        <w:rPr>
          <w:spacing w:val="-8"/>
        </w:rPr>
        <w:t> </w:t>
      </w:r>
      <w:r>
        <w:rPr/>
        <w:t>од</w:t>
      </w:r>
      <w:r>
        <w:rPr>
          <w:spacing w:val="-7"/>
        </w:rPr>
        <w:t> </w:t>
      </w:r>
      <w:r>
        <w:rPr/>
        <w:t>2015.</w:t>
      </w:r>
      <w:r>
        <w:rPr>
          <w:spacing w:val="-7"/>
        </w:rPr>
        <w:t> </w:t>
      </w:r>
      <w:r>
        <w:rPr/>
        <w:t>године</w:t>
      </w:r>
      <w:r>
        <w:rPr>
          <w:spacing w:val="-7"/>
        </w:rPr>
        <w:t> </w:t>
      </w:r>
      <w:r>
        <w:rPr/>
        <w:t>и</w:t>
      </w:r>
      <w:r>
        <w:rPr>
          <w:spacing w:val="-6"/>
        </w:rPr>
        <w:t> </w:t>
      </w:r>
      <w:r>
        <w:rPr/>
        <w:t>актуелан</w:t>
      </w:r>
      <w:r>
        <w:rPr>
          <w:spacing w:val="-6"/>
        </w:rPr>
        <w:t> </w:t>
      </w:r>
      <w:r>
        <w:rPr/>
        <w:t>је</w:t>
      </w:r>
      <w:r>
        <w:rPr>
          <w:spacing w:val="-8"/>
        </w:rPr>
        <w:t> </w:t>
      </w:r>
      <w:r>
        <w:rPr/>
        <w:t>све</w:t>
      </w:r>
      <w:r>
        <w:rPr>
          <w:spacing w:val="-9"/>
        </w:rPr>
        <w:t> </w:t>
      </w:r>
      <w:r>
        <w:rPr/>
        <w:t>до</w:t>
      </w:r>
      <w:r>
        <w:rPr>
          <w:spacing w:val="-7"/>
        </w:rPr>
        <w:t> </w:t>
      </w:r>
      <w:r>
        <w:rPr/>
        <w:t>краја</w:t>
      </w:r>
      <w:r>
        <w:rPr>
          <w:spacing w:val="-8"/>
        </w:rPr>
        <w:t> </w:t>
      </w:r>
      <w:r>
        <w:rPr/>
        <w:t>2019.</w:t>
      </w:r>
      <w:r>
        <w:rPr>
          <w:spacing w:val="-7"/>
        </w:rPr>
        <w:t> </w:t>
      </w:r>
      <w:r>
        <w:rPr/>
        <w:t>године,</w:t>
      </w:r>
      <w:r>
        <w:rPr>
          <w:spacing w:val="-7"/>
        </w:rPr>
        <w:t> </w:t>
      </w:r>
      <w:r>
        <w:rPr/>
        <w:t>а</w:t>
      </w:r>
      <w:r>
        <w:rPr>
          <w:spacing w:val="-6"/>
        </w:rPr>
        <w:t> </w:t>
      </w:r>
      <w:r>
        <w:rPr/>
        <w:t>у</w:t>
      </w:r>
      <w:r>
        <w:rPr>
          <w:spacing w:val="-14"/>
        </w:rPr>
        <w:t> </w:t>
      </w:r>
      <w:r>
        <w:rPr/>
        <w:t>том</w:t>
      </w:r>
      <w:r>
        <w:rPr>
          <w:spacing w:val="-8"/>
        </w:rPr>
        <w:t> </w:t>
      </w:r>
      <w:r>
        <w:rPr/>
        <w:t>периоду</w:t>
      </w:r>
      <w:r>
        <w:rPr>
          <w:spacing w:val="-13"/>
        </w:rPr>
        <w:t> </w:t>
      </w:r>
      <w:r>
        <w:rPr/>
        <w:t>јавни</w:t>
      </w:r>
      <w:r>
        <w:rPr>
          <w:spacing w:val="-6"/>
        </w:rPr>
        <w:t> </w:t>
      </w:r>
      <w:r>
        <w:rPr/>
        <w:t>дуг је смањен са 71,2% БДП-а у 2015. години на 52,9% БДП-а у 2019. години.</w:t>
      </w:r>
    </w:p>
    <w:p>
      <w:pPr>
        <w:pStyle w:val="BodyText"/>
        <w:spacing w:before="120"/>
        <w:ind w:right="709" w:firstLine="719"/>
      </w:pPr>
      <w:r>
        <w:rPr/>
        <w:t>Унапређење макроекономских перформанси Србије, као и опоравак глобалне привреде, утицали су</w:t>
      </w:r>
      <w:r>
        <w:rPr>
          <w:spacing w:val="-1"/>
        </w:rPr>
        <w:t> </w:t>
      </w:r>
      <w:r>
        <w:rPr/>
        <w:t>на повећан прилив страних директних инвестиција. Учешће страних директних инвестиција (СДИ) у БДП-у у константном је порасту последњих година и у 2019. износи 7,8%. Несумњиво је да су управо СДИ у доброј мери утицале на пораст привредне активности, раст запослености и промене у њеној структури у овом периоду.</w:t>
      </w:r>
    </w:p>
    <w:p>
      <w:pPr>
        <w:pStyle w:val="BodyText"/>
        <w:spacing w:before="120"/>
        <w:ind w:right="710" w:firstLine="719"/>
      </w:pPr>
      <w:r>
        <w:rPr/>
        <w:t>Током времена макроекономска стабилност привреде Србије постигнута је и са аспекта инфлације. Инфлација у Србији је изразито ниска од 2015. године, толико да је у појединим</w:t>
      </w:r>
      <w:r>
        <w:rPr>
          <w:spacing w:val="35"/>
        </w:rPr>
        <w:t> </w:t>
      </w:r>
      <w:r>
        <w:rPr/>
        <w:t>годинама</w:t>
      </w:r>
      <w:r>
        <w:rPr>
          <w:spacing w:val="35"/>
        </w:rPr>
        <w:t> </w:t>
      </w:r>
      <w:r>
        <w:rPr/>
        <w:t>била</w:t>
      </w:r>
      <w:r>
        <w:rPr>
          <w:spacing w:val="35"/>
        </w:rPr>
        <w:t> </w:t>
      </w:r>
      <w:r>
        <w:rPr/>
        <w:t>чак</w:t>
      </w:r>
      <w:r>
        <w:rPr>
          <w:spacing w:val="36"/>
        </w:rPr>
        <w:t> </w:t>
      </w:r>
      <w:r>
        <w:rPr/>
        <w:t>и</w:t>
      </w:r>
      <w:r>
        <w:rPr>
          <w:spacing w:val="37"/>
        </w:rPr>
        <w:t> </w:t>
      </w:r>
      <w:r>
        <w:rPr/>
        <w:t>испод</w:t>
      </w:r>
      <w:r>
        <w:rPr>
          <w:spacing w:val="40"/>
        </w:rPr>
        <w:t> </w:t>
      </w:r>
      <w:r>
        <w:rPr/>
        <w:t>нивоа</w:t>
      </w:r>
      <w:r>
        <w:rPr>
          <w:spacing w:val="35"/>
        </w:rPr>
        <w:t> </w:t>
      </w:r>
      <w:r>
        <w:rPr/>
        <w:t>који</w:t>
      </w:r>
      <w:r>
        <w:rPr>
          <w:spacing w:val="37"/>
        </w:rPr>
        <w:t> </w:t>
      </w:r>
      <w:r>
        <w:rPr/>
        <w:t>је</w:t>
      </w:r>
      <w:r>
        <w:rPr>
          <w:spacing w:val="35"/>
        </w:rPr>
        <w:t> </w:t>
      </w:r>
      <w:r>
        <w:rPr/>
        <w:t>дефинисала</w:t>
      </w:r>
      <w:r>
        <w:rPr>
          <w:spacing w:val="37"/>
        </w:rPr>
        <w:t> </w:t>
      </w:r>
      <w:r>
        <w:rPr/>
        <w:t>Народна</w:t>
      </w:r>
      <w:r>
        <w:rPr>
          <w:spacing w:val="35"/>
        </w:rPr>
        <w:t> </w:t>
      </w:r>
      <w:r>
        <w:rPr/>
        <w:t>банка</w:t>
      </w:r>
      <w:r>
        <w:rPr>
          <w:spacing w:val="35"/>
        </w:rPr>
        <w:t> </w:t>
      </w:r>
      <w:r>
        <w:rPr/>
        <w:t>Србије</w:t>
      </w:r>
    </w:p>
    <w:p>
      <w:pPr>
        <w:pStyle w:val="BodyText"/>
        <w:spacing w:after="0"/>
        <w:sectPr>
          <w:pgSz w:w="12240" w:h="15840"/>
          <w:pgMar w:header="0" w:footer="702" w:top="1360" w:bottom="900" w:left="1080" w:right="720"/>
        </w:sectPr>
      </w:pPr>
    </w:p>
    <w:p>
      <w:pPr>
        <w:pStyle w:val="BodyText"/>
        <w:spacing w:before="72"/>
        <w:ind w:right="721"/>
      </w:pPr>
      <w:r>
        <w:rPr/>
        <w:t>(НБС).</w:t>
      </w:r>
      <w:r>
        <w:rPr>
          <w:spacing w:val="-14"/>
        </w:rPr>
        <w:t> </w:t>
      </w:r>
      <w:r>
        <w:rPr/>
        <w:t>Узрочници</w:t>
      </w:r>
      <w:r>
        <w:rPr>
          <w:spacing w:val="-14"/>
        </w:rPr>
        <w:t> </w:t>
      </w:r>
      <w:r>
        <w:rPr/>
        <w:t>ниске</w:t>
      </w:r>
      <w:r>
        <w:rPr>
          <w:spacing w:val="-13"/>
        </w:rPr>
        <w:t> </w:t>
      </w:r>
      <w:r>
        <w:rPr/>
        <w:t>инфлације</w:t>
      </w:r>
      <w:r>
        <w:rPr>
          <w:spacing w:val="-13"/>
        </w:rPr>
        <w:t> </w:t>
      </w:r>
      <w:r>
        <w:rPr/>
        <w:t>су</w:t>
      </w:r>
      <w:r>
        <w:rPr>
          <w:spacing w:val="-15"/>
        </w:rPr>
        <w:t> </w:t>
      </w:r>
      <w:r>
        <w:rPr/>
        <w:t>пад</w:t>
      </w:r>
      <w:r>
        <w:rPr>
          <w:spacing w:val="-12"/>
        </w:rPr>
        <w:t> </w:t>
      </w:r>
      <w:r>
        <w:rPr/>
        <w:t>домаће</w:t>
      </w:r>
      <w:r>
        <w:rPr>
          <w:spacing w:val="-13"/>
        </w:rPr>
        <w:t> </w:t>
      </w:r>
      <w:r>
        <w:rPr/>
        <w:t>тражње</w:t>
      </w:r>
      <w:r>
        <w:rPr>
          <w:spacing w:val="-13"/>
        </w:rPr>
        <w:t> </w:t>
      </w:r>
      <w:r>
        <w:rPr/>
        <w:t>и</w:t>
      </w:r>
      <w:r>
        <w:rPr>
          <w:spacing w:val="-11"/>
        </w:rPr>
        <w:t> </w:t>
      </w:r>
      <w:r>
        <w:rPr/>
        <w:t>пад</w:t>
      </w:r>
      <w:r>
        <w:rPr>
          <w:spacing w:val="-12"/>
        </w:rPr>
        <w:t> </w:t>
      </w:r>
      <w:r>
        <w:rPr/>
        <w:t>цена</w:t>
      </w:r>
      <w:r>
        <w:rPr>
          <w:spacing w:val="-13"/>
        </w:rPr>
        <w:t> </w:t>
      </w:r>
      <w:r>
        <w:rPr/>
        <w:t>појединих</w:t>
      </w:r>
      <w:r>
        <w:rPr>
          <w:spacing w:val="-11"/>
        </w:rPr>
        <w:t> </w:t>
      </w:r>
      <w:r>
        <w:rPr/>
        <w:t>енергената, као и умерено рестриктивна монетарна политика НБС.</w:t>
      </w:r>
    </w:p>
    <w:p>
      <w:pPr>
        <w:pStyle w:val="BodyText"/>
        <w:spacing w:before="120"/>
        <w:ind w:right="715" w:firstLine="719"/>
      </w:pPr>
      <w:r>
        <w:rPr/>
        <w:t>Девизни курс динара према евру је благо апресирао у периоду 2017-2019. године, што</w:t>
      </w:r>
      <w:r>
        <w:rPr>
          <w:spacing w:val="-8"/>
        </w:rPr>
        <w:t> </w:t>
      </w:r>
      <w:r>
        <w:rPr/>
        <w:t>се</w:t>
      </w:r>
      <w:r>
        <w:rPr>
          <w:spacing w:val="-9"/>
        </w:rPr>
        <w:t> </w:t>
      </w:r>
      <w:r>
        <w:rPr/>
        <w:t>мери</w:t>
      </w:r>
      <w:r>
        <w:rPr>
          <w:spacing w:val="-7"/>
        </w:rPr>
        <w:t> </w:t>
      </w:r>
      <w:r>
        <w:rPr/>
        <w:t>кумулативним</w:t>
      </w:r>
      <w:r>
        <w:rPr>
          <w:spacing w:val="-9"/>
        </w:rPr>
        <w:t> </w:t>
      </w:r>
      <w:r>
        <w:rPr/>
        <w:t>јачањем</w:t>
      </w:r>
      <w:r>
        <w:rPr>
          <w:spacing w:val="-7"/>
        </w:rPr>
        <w:t> </w:t>
      </w:r>
      <w:r>
        <w:rPr/>
        <w:t>динара</w:t>
      </w:r>
      <w:r>
        <w:rPr>
          <w:spacing w:val="-6"/>
        </w:rPr>
        <w:t> </w:t>
      </w:r>
      <w:r>
        <w:rPr/>
        <w:t>од</w:t>
      </w:r>
      <w:r>
        <w:rPr>
          <w:spacing w:val="-6"/>
        </w:rPr>
        <w:t> </w:t>
      </w:r>
      <w:r>
        <w:rPr/>
        <w:t>5%</w:t>
      </w:r>
      <w:r>
        <w:rPr>
          <w:vertAlign w:val="superscript"/>
        </w:rPr>
        <w:t>4</w:t>
      </w:r>
      <w:r>
        <w:rPr>
          <w:vertAlign w:val="baseline"/>
        </w:rPr>
        <w:t>.</w:t>
      </w:r>
      <w:r>
        <w:rPr>
          <w:spacing w:val="-8"/>
          <w:vertAlign w:val="baseline"/>
        </w:rPr>
        <w:t> </w:t>
      </w:r>
      <w:r>
        <w:rPr>
          <w:vertAlign w:val="baseline"/>
        </w:rPr>
        <w:t>НБС</w:t>
      </w:r>
      <w:r>
        <w:rPr>
          <w:spacing w:val="-8"/>
          <w:vertAlign w:val="baseline"/>
        </w:rPr>
        <w:t> </w:t>
      </w:r>
      <w:r>
        <w:rPr>
          <w:vertAlign w:val="baseline"/>
        </w:rPr>
        <w:t>објашњава</w:t>
      </w:r>
      <w:r>
        <w:rPr>
          <w:spacing w:val="-9"/>
          <w:vertAlign w:val="baseline"/>
        </w:rPr>
        <w:t> </w:t>
      </w:r>
      <w:r>
        <w:rPr>
          <w:vertAlign w:val="baseline"/>
        </w:rPr>
        <w:t>овакво</w:t>
      </w:r>
      <w:r>
        <w:rPr>
          <w:spacing w:val="-9"/>
          <w:vertAlign w:val="baseline"/>
        </w:rPr>
        <w:t> </w:t>
      </w:r>
      <w:r>
        <w:rPr>
          <w:vertAlign w:val="baseline"/>
        </w:rPr>
        <w:t>кретање</w:t>
      </w:r>
      <w:r>
        <w:rPr>
          <w:spacing w:val="-7"/>
          <w:vertAlign w:val="baseline"/>
        </w:rPr>
        <w:t> </w:t>
      </w:r>
      <w:r>
        <w:rPr>
          <w:vertAlign w:val="baseline"/>
        </w:rPr>
        <w:t>домаће валуте бољим макроекономским изгледима и вишим стопама економског раста, као и бржим</w:t>
      </w:r>
      <w:r>
        <w:rPr>
          <w:spacing w:val="-7"/>
          <w:vertAlign w:val="baseline"/>
        </w:rPr>
        <w:t> </w:t>
      </w:r>
      <w:r>
        <w:rPr>
          <w:vertAlign w:val="baseline"/>
        </w:rPr>
        <w:t>приливом</w:t>
      </w:r>
      <w:r>
        <w:rPr>
          <w:spacing w:val="-6"/>
          <w:vertAlign w:val="baseline"/>
        </w:rPr>
        <w:t> </w:t>
      </w:r>
      <w:r>
        <w:rPr>
          <w:vertAlign w:val="baseline"/>
        </w:rPr>
        <w:t>СДИ</w:t>
      </w:r>
      <w:r>
        <w:rPr>
          <w:spacing w:val="-7"/>
          <w:vertAlign w:val="baseline"/>
        </w:rPr>
        <w:t> </w:t>
      </w:r>
      <w:r>
        <w:rPr>
          <w:vertAlign w:val="baseline"/>
        </w:rPr>
        <w:t>и</w:t>
      </w:r>
      <w:r>
        <w:rPr>
          <w:spacing w:val="-5"/>
          <w:vertAlign w:val="baseline"/>
        </w:rPr>
        <w:t> </w:t>
      </w:r>
      <w:r>
        <w:rPr>
          <w:vertAlign w:val="baseline"/>
        </w:rPr>
        <w:t>куповином</w:t>
      </w:r>
      <w:r>
        <w:rPr>
          <w:spacing w:val="-7"/>
          <w:vertAlign w:val="baseline"/>
        </w:rPr>
        <w:t> </w:t>
      </w:r>
      <w:r>
        <w:rPr>
          <w:vertAlign w:val="baseline"/>
        </w:rPr>
        <w:t>дугорочних</w:t>
      </w:r>
      <w:r>
        <w:rPr>
          <w:spacing w:val="-4"/>
          <w:vertAlign w:val="baseline"/>
        </w:rPr>
        <w:t> </w:t>
      </w:r>
      <w:r>
        <w:rPr>
          <w:vertAlign w:val="baseline"/>
        </w:rPr>
        <w:t>динарских</w:t>
      </w:r>
      <w:r>
        <w:rPr>
          <w:spacing w:val="-4"/>
          <w:vertAlign w:val="baseline"/>
        </w:rPr>
        <w:t> </w:t>
      </w:r>
      <w:r>
        <w:rPr>
          <w:vertAlign w:val="baseline"/>
        </w:rPr>
        <w:t>државних</w:t>
      </w:r>
      <w:r>
        <w:rPr>
          <w:spacing w:val="-6"/>
          <w:vertAlign w:val="baseline"/>
        </w:rPr>
        <w:t> </w:t>
      </w:r>
      <w:r>
        <w:rPr>
          <w:vertAlign w:val="baseline"/>
        </w:rPr>
        <w:t>хартија</w:t>
      </w:r>
      <w:r>
        <w:rPr>
          <w:spacing w:val="-7"/>
          <w:vertAlign w:val="baseline"/>
        </w:rPr>
        <w:t> </w:t>
      </w:r>
      <w:r>
        <w:rPr>
          <w:vertAlign w:val="baseline"/>
        </w:rPr>
        <w:t>од</w:t>
      </w:r>
      <w:r>
        <w:rPr>
          <w:spacing w:val="-6"/>
          <w:vertAlign w:val="baseline"/>
        </w:rPr>
        <w:t> </w:t>
      </w:r>
      <w:r>
        <w:rPr>
          <w:vertAlign w:val="baseline"/>
        </w:rPr>
        <w:t>вредности од стране нерезидената, што је допринело расту девизних резерви.</w:t>
      </w:r>
    </w:p>
    <w:p>
      <w:pPr>
        <w:pStyle w:val="BodyText"/>
        <w:spacing w:before="120"/>
        <w:ind w:right="714" w:firstLine="719"/>
      </w:pPr>
      <w:r>
        <w:rPr/>
        <w:t>Највеће</w:t>
      </w:r>
      <w:r>
        <w:rPr>
          <w:spacing w:val="-4"/>
        </w:rPr>
        <w:t> </w:t>
      </w:r>
      <w:r>
        <w:rPr/>
        <w:t>смањење</w:t>
      </w:r>
      <w:r>
        <w:rPr>
          <w:spacing w:val="-4"/>
        </w:rPr>
        <w:t> </w:t>
      </w:r>
      <w:r>
        <w:rPr/>
        <w:t>реалних</w:t>
      </w:r>
      <w:r>
        <w:rPr>
          <w:spacing w:val="-3"/>
        </w:rPr>
        <w:t> </w:t>
      </w:r>
      <w:r>
        <w:rPr/>
        <w:t>зарада</w:t>
      </w:r>
      <w:r>
        <w:rPr>
          <w:spacing w:val="-3"/>
        </w:rPr>
        <w:t> </w:t>
      </w:r>
      <w:r>
        <w:rPr/>
        <w:t>у</w:t>
      </w:r>
      <w:r>
        <w:rPr>
          <w:spacing w:val="-9"/>
        </w:rPr>
        <w:t> </w:t>
      </w:r>
      <w:r>
        <w:rPr/>
        <w:t>протеклом</w:t>
      </w:r>
      <w:r>
        <w:rPr>
          <w:spacing w:val="-3"/>
        </w:rPr>
        <w:t> </w:t>
      </w:r>
      <w:r>
        <w:rPr/>
        <w:t>периоду</w:t>
      </w:r>
      <w:r>
        <w:rPr>
          <w:spacing w:val="-9"/>
        </w:rPr>
        <w:t> </w:t>
      </w:r>
      <w:r>
        <w:rPr/>
        <w:t>забележено</w:t>
      </w:r>
      <w:r>
        <w:rPr>
          <w:spacing w:val="-5"/>
        </w:rPr>
        <w:t> </w:t>
      </w:r>
      <w:r>
        <w:rPr/>
        <w:t>је</w:t>
      </w:r>
      <w:r>
        <w:rPr>
          <w:spacing w:val="-2"/>
        </w:rPr>
        <w:t> </w:t>
      </w:r>
      <w:r>
        <w:rPr/>
        <w:t>у</w:t>
      </w:r>
      <w:r>
        <w:rPr>
          <w:spacing w:val="-8"/>
        </w:rPr>
        <w:t> </w:t>
      </w:r>
      <w:r>
        <w:rPr/>
        <w:t>2015.</w:t>
      </w:r>
      <w:r>
        <w:rPr>
          <w:spacing w:val="-5"/>
        </w:rPr>
        <w:t> </w:t>
      </w:r>
      <w:r>
        <w:rPr/>
        <w:t>години што се доводи у везу са мерама фискалне консолидације које су уведене крајем 2014. године, а којима је био ограничен раст зарада запослених у јавном сектору</w:t>
      </w:r>
      <w:r>
        <w:rPr>
          <w:vertAlign w:val="superscript"/>
        </w:rPr>
        <w:t>5</w:t>
      </w:r>
      <w:r>
        <w:rPr>
          <w:vertAlign w:val="baseline"/>
        </w:rPr>
        <w:t>. То се манифестовало снажним падом реалних нето зарада од 2,1% у 2015. години. Релаксација мера фискалне консолидације, повећање минималне цене рада (на 155 динара нето по радном часу у</w:t>
      </w:r>
      <w:r>
        <w:rPr>
          <w:spacing w:val="-2"/>
          <w:vertAlign w:val="baseline"/>
        </w:rPr>
        <w:t> </w:t>
      </w:r>
      <w:r>
        <w:rPr>
          <w:vertAlign w:val="baseline"/>
        </w:rPr>
        <w:t>2019. години) и укидање обавезе плаћања доприноса за осигурање за случај незапослености</w:t>
      </w:r>
      <w:r>
        <w:rPr>
          <w:spacing w:val="-2"/>
          <w:vertAlign w:val="baseline"/>
        </w:rPr>
        <w:t> </w:t>
      </w:r>
      <w:r>
        <w:rPr>
          <w:vertAlign w:val="baseline"/>
        </w:rPr>
        <w:t>на</w:t>
      </w:r>
      <w:r>
        <w:rPr>
          <w:spacing w:val="-4"/>
          <w:vertAlign w:val="baseline"/>
        </w:rPr>
        <w:t> </w:t>
      </w:r>
      <w:r>
        <w:rPr>
          <w:vertAlign w:val="baseline"/>
        </w:rPr>
        <w:t>терет</w:t>
      </w:r>
      <w:r>
        <w:rPr>
          <w:spacing w:val="-3"/>
          <w:vertAlign w:val="baseline"/>
        </w:rPr>
        <w:t> </w:t>
      </w:r>
      <w:r>
        <w:rPr>
          <w:vertAlign w:val="baseline"/>
        </w:rPr>
        <w:t>послодавца</w:t>
      </w:r>
      <w:r>
        <w:rPr>
          <w:spacing w:val="-4"/>
          <w:vertAlign w:val="baseline"/>
        </w:rPr>
        <w:t> </w:t>
      </w:r>
      <w:r>
        <w:rPr>
          <w:vertAlign w:val="baseline"/>
        </w:rPr>
        <w:t>као</w:t>
      </w:r>
      <w:r>
        <w:rPr>
          <w:spacing w:val="-3"/>
          <w:vertAlign w:val="baseline"/>
        </w:rPr>
        <w:t> </w:t>
      </w:r>
      <w:r>
        <w:rPr>
          <w:vertAlign w:val="baseline"/>
        </w:rPr>
        <w:t>мере</w:t>
      </w:r>
      <w:r>
        <w:rPr>
          <w:spacing w:val="-2"/>
          <w:vertAlign w:val="baseline"/>
        </w:rPr>
        <w:t> </w:t>
      </w:r>
      <w:r>
        <w:rPr>
          <w:vertAlign w:val="baseline"/>
        </w:rPr>
        <w:t>пореског</w:t>
      </w:r>
      <w:r>
        <w:rPr>
          <w:spacing w:val="-4"/>
          <w:vertAlign w:val="baseline"/>
        </w:rPr>
        <w:t> </w:t>
      </w:r>
      <w:r>
        <w:rPr>
          <w:vertAlign w:val="baseline"/>
        </w:rPr>
        <w:t>растерећења</w:t>
      </w:r>
      <w:r>
        <w:rPr>
          <w:spacing w:val="-4"/>
          <w:vertAlign w:val="baseline"/>
        </w:rPr>
        <w:t> </w:t>
      </w:r>
      <w:r>
        <w:rPr>
          <w:vertAlign w:val="baseline"/>
        </w:rPr>
        <w:t>нето</w:t>
      </w:r>
      <w:r>
        <w:rPr>
          <w:spacing w:val="-3"/>
          <w:vertAlign w:val="baseline"/>
        </w:rPr>
        <w:t> </w:t>
      </w:r>
      <w:r>
        <w:rPr>
          <w:vertAlign w:val="baseline"/>
        </w:rPr>
        <w:t>зараде,</w:t>
      </w:r>
      <w:r>
        <w:rPr>
          <w:spacing w:val="-3"/>
          <w:vertAlign w:val="baseline"/>
        </w:rPr>
        <w:t> </w:t>
      </w:r>
      <w:r>
        <w:rPr>
          <w:vertAlign w:val="baseline"/>
        </w:rPr>
        <w:t>довели</w:t>
      </w:r>
      <w:r>
        <w:rPr>
          <w:spacing w:val="-2"/>
          <w:vertAlign w:val="baseline"/>
        </w:rPr>
        <w:t> </w:t>
      </w:r>
      <w:r>
        <w:rPr>
          <w:vertAlign w:val="baseline"/>
        </w:rPr>
        <w:t>су до</w:t>
      </w:r>
      <w:r>
        <w:rPr>
          <w:spacing w:val="-7"/>
          <w:vertAlign w:val="baseline"/>
        </w:rPr>
        <w:t> </w:t>
      </w:r>
      <w:r>
        <w:rPr>
          <w:vertAlign w:val="baseline"/>
        </w:rPr>
        <w:t>значајног</w:t>
      </w:r>
      <w:r>
        <w:rPr>
          <w:spacing w:val="-7"/>
          <w:vertAlign w:val="baseline"/>
        </w:rPr>
        <w:t> </w:t>
      </w:r>
      <w:r>
        <w:rPr>
          <w:vertAlign w:val="baseline"/>
        </w:rPr>
        <w:t>раста</w:t>
      </w:r>
      <w:r>
        <w:rPr>
          <w:spacing w:val="-7"/>
          <w:vertAlign w:val="baseline"/>
        </w:rPr>
        <w:t> </w:t>
      </w:r>
      <w:r>
        <w:rPr>
          <w:vertAlign w:val="baseline"/>
        </w:rPr>
        <w:t>нето</w:t>
      </w:r>
      <w:r>
        <w:rPr>
          <w:spacing w:val="-4"/>
          <w:vertAlign w:val="baseline"/>
        </w:rPr>
        <w:t> </w:t>
      </w:r>
      <w:r>
        <w:rPr>
          <w:vertAlign w:val="baseline"/>
        </w:rPr>
        <w:t>зарада</w:t>
      </w:r>
      <w:r>
        <w:rPr>
          <w:spacing w:val="-7"/>
          <w:vertAlign w:val="baseline"/>
        </w:rPr>
        <w:t> </w:t>
      </w:r>
      <w:r>
        <w:rPr>
          <w:vertAlign w:val="baseline"/>
        </w:rPr>
        <w:t>од</w:t>
      </w:r>
      <w:r>
        <w:rPr>
          <w:spacing w:val="-7"/>
          <w:vertAlign w:val="baseline"/>
        </w:rPr>
        <w:t> </w:t>
      </w:r>
      <w:r>
        <w:rPr>
          <w:vertAlign w:val="baseline"/>
        </w:rPr>
        <w:t>8,3%</w:t>
      </w:r>
      <w:r>
        <w:rPr>
          <w:spacing w:val="-8"/>
          <w:vertAlign w:val="baseline"/>
        </w:rPr>
        <w:t> </w:t>
      </w:r>
      <w:r>
        <w:rPr>
          <w:vertAlign w:val="baseline"/>
        </w:rPr>
        <w:t>(466</w:t>
      </w:r>
      <w:r>
        <w:rPr>
          <w:spacing w:val="-6"/>
          <w:vertAlign w:val="baseline"/>
        </w:rPr>
        <w:t> </w:t>
      </w:r>
      <w:r>
        <w:rPr>
          <w:vertAlign w:val="baseline"/>
        </w:rPr>
        <w:t>ЕУР)</w:t>
      </w:r>
      <w:r>
        <w:rPr>
          <w:spacing w:val="-5"/>
          <w:vertAlign w:val="baseline"/>
        </w:rPr>
        <w:t> </w:t>
      </w:r>
      <w:r>
        <w:rPr>
          <w:vertAlign w:val="baseline"/>
        </w:rPr>
        <w:t>у</w:t>
      </w:r>
      <w:r>
        <w:rPr>
          <w:spacing w:val="-10"/>
          <w:vertAlign w:val="baseline"/>
        </w:rPr>
        <w:t> </w:t>
      </w:r>
      <w:r>
        <w:rPr>
          <w:vertAlign w:val="baseline"/>
        </w:rPr>
        <w:t>2019.</w:t>
      </w:r>
      <w:r>
        <w:rPr>
          <w:spacing w:val="-7"/>
          <w:vertAlign w:val="baseline"/>
        </w:rPr>
        <w:t> </w:t>
      </w:r>
      <w:r>
        <w:rPr>
          <w:vertAlign w:val="baseline"/>
        </w:rPr>
        <w:t>години.</w:t>
      </w:r>
      <w:r>
        <w:rPr>
          <w:spacing w:val="-6"/>
          <w:vertAlign w:val="baseline"/>
        </w:rPr>
        <w:t> </w:t>
      </w:r>
      <w:r>
        <w:rPr>
          <w:vertAlign w:val="baseline"/>
        </w:rPr>
        <w:t>Пензије</w:t>
      </w:r>
      <w:r>
        <w:rPr>
          <w:spacing w:val="-8"/>
          <w:vertAlign w:val="baseline"/>
        </w:rPr>
        <w:t> </w:t>
      </w:r>
      <w:r>
        <w:rPr>
          <w:vertAlign w:val="baseline"/>
        </w:rPr>
        <w:t>су</w:t>
      </w:r>
      <w:r>
        <w:rPr>
          <w:spacing w:val="-12"/>
          <w:vertAlign w:val="baseline"/>
        </w:rPr>
        <w:t> </w:t>
      </w:r>
      <w:r>
        <w:rPr>
          <w:vertAlign w:val="baseline"/>
        </w:rPr>
        <w:t>после</w:t>
      </w:r>
      <w:r>
        <w:rPr>
          <w:spacing w:val="-1"/>
          <w:vertAlign w:val="baseline"/>
        </w:rPr>
        <w:t> </w:t>
      </w:r>
      <w:r>
        <w:rPr>
          <w:vertAlign w:val="baseline"/>
        </w:rPr>
        <w:t>укидања Закона о привременом уређивању начина исплате пензија (на снази од октобра 2014. до септембра</w:t>
      </w:r>
      <w:r>
        <w:rPr>
          <w:spacing w:val="-1"/>
          <w:vertAlign w:val="baseline"/>
        </w:rPr>
        <w:t> </w:t>
      </w:r>
      <w:r>
        <w:rPr>
          <w:vertAlign w:val="baseline"/>
        </w:rPr>
        <w:t>2018. године)</w:t>
      </w:r>
      <w:r>
        <w:rPr>
          <w:spacing w:val="-1"/>
          <w:vertAlign w:val="baseline"/>
        </w:rPr>
        <w:t> </w:t>
      </w:r>
      <w:r>
        <w:rPr>
          <w:vertAlign w:val="baseline"/>
        </w:rPr>
        <w:t>реално порасле</w:t>
      </w:r>
      <w:r>
        <w:rPr>
          <w:spacing w:val="-1"/>
          <w:vertAlign w:val="baseline"/>
        </w:rPr>
        <w:t> </w:t>
      </w:r>
      <w:r>
        <w:rPr>
          <w:vertAlign w:val="baseline"/>
        </w:rPr>
        <w:t>за</w:t>
      </w:r>
      <w:r>
        <w:rPr>
          <w:spacing w:val="-1"/>
          <w:vertAlign w:val="baseline"/>
        </w:rPr>
        <w:t> </w:t>
      </w:r>
      <w:r>
        <w:rPr>
          <w:vertAlign w:val="baseline"/>
        </w:rPr>
        <w:t>3,6% у</w:t>
      </w:r>
      <w:r>
        <w:rPr>
          <w:spacing w:val="-5"/>
          <w:vertAlign w:val="baseline"/>
        </w:rPr>
        <w:t> </w:t>
      </w:r>
      <w:r>
        <w:rPr>
          <w:vertAlign w:val="baseline"/>
        </w:rPr>
        <w:t>2018. односно 2,3% у</w:t>
      </w:r>
      <w:r>
        <w:rPr>
          <w:spacing w:val="-5"/>
          <w:vertAlign w:val="baseline"/>
        </w:rPr>
        <w:t> </w:t>
      </w:r>
      <w:r>
        <w:rPr>
          <w:vertAlign w:val="baseline"/>
        </w:rPr>
        <w:t>2019. години, тако да су износиле просечно 224 ЕУР у 2019. години.</w:t>
      </w:r>
    </w:p>
    <w:p>
      <w:pPr>
        <w:pStyle w:val="ListParagraph"/>
        <w:numPr>
          <w:ilvl w:val="2"/>
          <w:numId w:val="1"/>
        </w:numPr>
        <w:tabs>
          <w:tab w:pos="1154" w:val="left" w:leader="none"/>
        </w:tabs>
        <w:spacing w:line="240" w:lineRule="auto" w:before="123" w:after="0"/>
        <w:ind w:left="1154" w:right="0" w:hanging="794"/>
        <w:jc w:val="both"/>
        <w:rPr>
          <w:sz w:val="24"/>
        </w:rPr>
      </w:pPr>
      <w:r>
        <w:rPr>
          <w:sz w:val="24"/>
        </w:rPr>
        <w:t>Демографски</w:t>
      </w:r>
      <w:r>
        <w:rPr>
          <w:spacing w:val="-6"/>
          <w:sz w:val="24"/>
        </w:rPr>
        <w:t> </w:t>
      </w:r>
      <w:r>
        <w:rPr>
          <w:spacing w:val="-2"/>
          <w:sz w:val="24"/>
        </w:rPr>
        <w:t>трендови</w:t>
      </w:r>
    </w:p>
    <w:p>
      <w:pPr>
        <w:pStyle w:val="BodyText"/>
        <w:spacing w:before="140"/>
        <w:ind w:right="715" w:firstLine="719"/>
      </w:pPr>
      <w:r>
        <w:rPr/>
        <w:t>Изразит депопулациони тренд је карактеристика демографских кретања у Србији у последњој, али и претходној деценији. Број становника смањен је за нешто више од 291 хиљаде</w:t>
      </w:r>
      <w:r>
        <w:rPr>
          <w:spacing w:val="-5"/>
        </w:rPr>
        <w:t> </w:t>
      </w:r>
      <w:r>
        <w:rPr/>
        <w:t>лица</w:t>
      </w:r>
      <w:r>
        <w:rPr>
          <w:spacing w:val="-2"/>
        </w:rPr>
        <w:t> </w:t>
      </w:r>
      <w:r>
        <w:rPr/>
        <w:t>у</w:t>
      </w:r>
      <w:r>
        <w:rPr>
          <w:spacing w:val="-9"/>
        </w:rPr>
        <w:t> </w:t>
      </w:r>
      <w:r>
        <w:rPr/>
        <w:t>2019.</w:t>
      </w:r>
      <w:r>
        <w:rPr>
          <w:position w:val="8"/>
          <w:sz w:val="14"/>
        </w:rPr>
        <w:t>6</w:t>
      </w:r>
      <w:r>
        <w:rPr>
          <w:spacing w:val="24"/>
          <w:position w:val="8"/>
          <w:sz w:val="14"/>
        </w:rPr>
        <w:t> </w:t>
      </w:r>
      <w:r>
        <w:rPr/>
        <w:t>у</w:t>
      </w:r>
      <w:r>
        <w:rPr>
          <w:spacing w:val="-9"/>
        </w:rPr>
        <w:t> </w:t>
      </w:r>
      <w:r>
        <w:rPr/>
        <w:t>односу</w:t>
      </w:r>
      <w:r>
        <w:rPr>
          <w:spacing w:val="-9"/>
        </w:rPr>
        <w:t> </w:t>
      </w:r>
      <w:r>
        <w:rPr/>
        <w:t>на</w:t>
      </w:r>
      <w:r>
        <w:rPr>
          <w:spacing w:val="-5"/>
        </w:rPr>
        <w:t> </w:t>
      </w:r>
      <w:r>
        <w:rPr/>
        <w:t>податке</w:t>
      </w:r>
      <w:r>
        <w:rPr>
          <w:spacing w:val="-5"/>
        </w:rPr>
        <w:t> </w:t>
      </w:r>
      <w:r>
        <w:rPr/>
        <w:t>Пописа</w:t>
      </w:r>
      <w:r>
        <w:rPr>
          <w:spacing w:val="-5"/>
        </w:rPr>
        <w:t> </w:t>
      </w:r>
      <w:r>
        <w:rPr/>
        <w:t>из</w:t>
      </w:r>
      <w:r>
        <w:rPr>
          <w:spacing w:val="-3"/>
        </w:rPr>
        <w:t> </w:t>
      </w:r>
      <w:r>
        <w:rPr/>
        <w:t>2011.</w:t>
      </w:r>
      <w:r>
        <w:rPr>
          <w:spacing w:val="-4"/>
        </w:rPr>
        <w:t> </w:t>
      </w:r>
      <w:r>
        <w:rPr/>
        <w:t>године.</w:t>
      </w:r>
      <w:r>
        <w:rPr>
          <w:spacing w:val="-4"/>
        </w:rPr>
        <w:t> </w:t>
      </w:r>
      <w:r>
        <w:rPr/>
        <w:t>Демографска</w:t>
      </w:r>
      <w:r>
        <w:rPr>
          <w:spacing w:val="-4"/>
        </w:rPr>
        <w:t> </w:t>
      </w:r>
      <w:r>
        <w:rPr/>
        <w:t>транзиција нарочито</w:t>
      </w:r>
      <w:r>
        <w:rPr>
          <w:spacing w:val="-4"/>
        </w:rPr>
        <w:t> </w:t>
      </w:r>
      <w:r>
        <w:rPr/>
        <w:t>утиче</w:t>
      </w:r>
      <w:r>
        <w:rPr>
          <w:spacing w:val="-7"/>
        </w:rPr>
        <w:t> </w:t>
      </w:r>
      <w:r>
        <w:rPr/>
        <w:t>на</w:t>
      </w:r>
      <w:r>
        <w:rPr>
          <w:spacing w:val="-4"/>
        </w:rPr>
        <w:t> </w:t>
      </w:r>
      <w:r>
        <w:rPr/>
        <w:t>смањење</w:t>
      </w:r>
      <w:r>
        <w:rPr>
          <w:spacing w:val="-5"/>
        </w:rPr>
        <w:t> </w:t>
      </w:r>
      <w:r>
        <w:rPr/>
        <w:t>становништва</w:t>
      </w:r>
      <w:r>
        <w:rPr>
          <w:spacing w:val="-7"/>
        </w:rPr>
        <w:t> </w:t>
      </w:r>
      <w:r>
        <w:rPr/>
        <w:t>радног</w:t>
      </w:r>
      <w:r>
        <w:rPr>
          <w:spacing w:val="-4"/>
        </w:rPr>
        <w:t> </w:t>
      </w:r>
      <w:r>
        <w:rPr/>
        <w:t>узраста</w:t>
      </w:r>
      <w:r>
        <w:rPr>
          <w:spacing w:val="-4"/>
        </w:rPr>
        <w:t> </w:t>
      </w:r>
      <w:r>
        <w:rPr/>
        <w:t>(становништво</w:t>
      </w:r>
      <w:r>
        <w:rPr>
          <w:spacing w:val="-6"/>
        </w:rPr>
        <w:t> </w:t>
      </w:r>
      <w:r>
        <w:rPr/>
        <w:t>15–64</w:t>
      </w:r>
      <w:r>
        <w:rPr>
          <w:spacing w:val="-5"/>
        </w:rPr>
        <w:t> </w:t>
      </w:r>
      <w:r>
        <w:rPr/>
        <w:t>–</w:t>
      </w:r>
      <w:r>
        <w:rPr>
          <w:spacing w:val="-6"/>
        </w:rPr>
        <w:t> </w:t>
      </w:r>
      <w:r>
        <w:rPr/>
        <w:t>смањење за око 430 хиљада лица), посебно кохорте младих у овој категорији становништва (млади 15–30 – смањење од 202,6 хиљада лица).</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1"/>
        <w:ind w:left="0"/>
        <w:jc w:val="left"/>
        <w:rPr>
          <w:sz w:val="20"/>
        </w:rPr>
      </w:pPr>
      <w:r>
        <w:rPr>
          <w:sz w:val="20"/>
        </w:rPr>
        <mc:AlternateContent>
          <mc:Choice Requires="wps">
            <w:drawing>
              <wp:anchor distT="0" distB="0" distL="0" distR="0" allowOverlap="1" layoutInCell="1" locked="0" behindDoc="1" simplePos="0" relativeHeight="487589888">
                <wp:simplePos x="0" y="0"/>
                <wp:positionH relativeFrom="page">
                  <wp:posOffset>914704</wp:posOffset>
                </wp:positionH>
                <wp:positionV relativeFrom="paragraph">
                  <wp:posOffset>175220</wp:posOffset>
                </wp:positionV>
                <wp:extent cx="182943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796905pt;width:144.020pt;height:.71997pt;mso-position-horizontal-relative:page;mso-position-vertical-relative:paragraph;z-index:-15726592;mso-wrap-distance-left:0;mso-wrap-distance-right:0" id="docshape6" filled="true" fillcolor="#000000" stroked="false">
                <v:fill type="solid"/>
                <w10:wrap type="topAndBottom"/>
              </v:rect>
            </w:pict>
          </mc:Fallback>
        </mc:AlternateContent>
      </w:r>
    </w:p>
    <w:p>
      <w:pPr>
        <w:spacing w:line="209" w:lineRule="exact" w:before="94"/>
        <w:ind w:left="360" w:right="0" w:firstLine="0"/>
        <w:jc w:val="both"/>
        <w:rPr>
          <w:sz w:val="18"/>
        </w:rPr>
      </w:pPr>
      <w:r>
        <w:rPr>
          <w:position w:val="6"/>
          <w:sz w:val="12"/>
        </w:rPr>
        <w:t>4</w:t>
      </w:r>
      <w:r>
        <w:rPr>
          <w:spacing w:val="12"/>
          <w:position w:val="6"/>
          <w:sz w:val="12"/>
        </w:rPr>
        <w:t> </w:t>
      </w:r>
      <w:r>
        <w:rPr>
          <w:sz w:val="18"/>
        </w:rPr>
        <w:t>Народна</w:t>
      </w:r>
      <w:r>
        <w:rPr>
          <w:spacing w:val="-3"/>
          <w:sz w:val="18"/>
        </w:rPr>
        <w:t> </w:t>
      </w:r>
      <w:r>
        <w:rPr>
          <w:sz w:val="18"/>
        </w:rPr>
        <w:t>банка</w:t>
      </w:r>
      <w:r>
        <w:rPr>
          <w:spacing w:val="-4"/>
          <w:sz w:val="18"/>
        </w:rPr>
        <w:t> </w:t>
      </w:r>
      <w:r>
        <w:rPr>
          <w:sz w:val="18"/>
        </w:rPr>
        <w:t>Србије,</w:t>
      </w:r>
      <w:r>
        <w:rPr>
          <w:spacing w:val="-2"/>
          <w:sz w:val="18"/>
        </w:rPr>
        <w:t> </w:t>
      </w:r>
      <w:r>
        <w:rPr>
          <w:sz w:val="18"/>
        </w:rPr>
        <w:t>Макроекономска</w:t>
      </w:r>
      <w:r>
        <w:rPr>
          <w:spacing w:val="-3"/>
          <w:sz w:val="18"/>
        </w:rPr>
        <w:t> </w:t>
      </w:r>
      <w:r>
        <w:rPr>
          <w:sz w:val="18"/>
        </w:rPr>
        <w:t>кретања</w:t>
      </w:r>
      <w:r>
        <w:rPr>
          <w:spacing w:val="-1"/>
          <w:sz w:val="18"/>
        </w:rPr>
        <w:t> </w:t>
      </w:r>
      <w:r>
        <w:rPr>
          <w:sz w:val="18"/>
        </w:rPr>
        <w:t>у</w:t>
      </w:r>
      <w:r>
        <w:rPr>
          <w:spacing w:val="-6"/>
          <w:sz w:val="18"/>
        </w:rPr>
        <w:t> </w:t>
      </w:r>
      <w:r>
        <w:rPr>
          <w:sz w:val="18"/>
        </w:rPr>
        <w:t>Србији,</w:t>
      </w:r>
      <w:r>
        <w:rPr>
          <w:spacing w:val="-1"/>
          <w:sz w:val="18"/>
        </w:rPr>
        <w:t> </w:t>
      </w:r>
      <w:r>
        <w:rPr>
          <w:spacing w:val="-2"/>
          <w:sz w:val="18"/>
        </w:rPr>
        <w:t>(2020.)</w:t>
      </w:r>
    </w:p>
    <w:p>
      <w:pPr>
        <w:spacing w:line="240" w:lineRule="auto" w:before="0"/>
        <w:ind w:left="360" w:right="715" w:firstLine="0"/>
        <w:jc w:val="both"/>
        <w:rPr>
          <w:sz w:val="18"/>
        </w:rPr>
      </w:pPr>
      <w:r>
        <w:rPr>
          <w:position w:val="6"/>
          <w:sz w:val="12"/>
        </w:rPr>
        <w:t>5</w:t>
      </w:r>
      <w:r>
        <w:rPr>
          <w:spacing w:val="37"/>
          <w:position w:val="6"/>
          <w:sz w:val="12"/>
        </w:rPr>
        <w:t> </w:t>
      </w:r>
      <w:r>
        <w:rPr>
          <w:sz w:val="18"/>
        </w:rPr>
        <w:t>Ове мере су биле на снази до доношења Закона о престанку важења Закона о привременом уређивању основица за обрачун</w:t>
      </w:r>
      <w:r>
        <w:rPr>
          <w:spacing w:val="-4"/>
          <w:sz w:val="18"/>
        </w:rPr>
        <w:t> </w:t>
      </w:r>
      <w:r>
        <w:rPr>
          <w:sz w:val="18"/>
        </w:rPr>
        <w:t>и</w:t>
      </w:r>
      <w:r>
        <w:rPr>
          <w:spacing w:val="-2"/>
          <w:sz w:val="18"/>
        </w:rPr>
        <w:t> </w:t>
      </w:r>
      <w:r>
        <w:rPr>
          <w:sz w:val="18"/>
        </w:rPr>
        <w:t>исплату</w:t>
      </w:r>
      <w:r>
        <w:rPr>
          <w:spacing w:val="-7"/>
          <w:sz w:val="18"/>
        </w:rPr>
        <w:t> </w:t>
      </w:r>
      <w:r>
        <w:rPr>
          <w:sz w:val="18"/>
        </w:rPr>
        <w:t>плата,</w:t>
      </w:r>
      <w:r>
        <w:rPr>
          <w:spacing w:val="-3"/>
          <w:sz w:val="18"/>
        </w:rPr>
        <w:t> </w:t>
      </w:r>
      <w:r>
        <w:rPr>
          <w:sz w:val="18"/>
        </w:rPr>
        <w:t>односно</w:t>
      </w:r>
      <w:r>
        <w:rPr>
          <w:spacing w:val="-3"/>
          <w:sz w:val="18"/>
        </w:rPr>
        <w:t> </w:t>
      </w:r>
      <w:r>
        <w:rPr>
          <w:sz w:val="18"/>
        </w:rPr>
        <w:t>зарада</w:t>
      </w:r>
      <w:r>
        <w:rPr>
          <w:spacing w:val="-4"/>
          <w:sz w:val="18"/>
        </w:rPr>
        <w:t> </w:t>
      </w:r>
      <w:r>
        <w:rPr>
          <w:sz w:val="18"/>
        </w:rPr>
        <w:t>и</w:t>
      </w:r>
      <w:r>
        <w:rPr>
          <w:spacing w:val="-4"/>
          <w:sz w:val="18"/>
        </w:rPr>
        <w:t> </w:t>
      </w:r>
      <w:r>
        <w:rPr>
          <w:sz w:val="18"/>
        </w:rPr>
        <w:t>других</w:t>
      </w:r>
      <w:r>
        <w:rPr>
          <w:spacing w:val="-3"/>
          <w:sz w:val="18"/>
        </w:rPr>
        <w:t> </w:t>
      </w:r>
      <w:r>
        <w:rPr>
          <w:sz w:val="18"/>
        </w:rPr>
        <w:t>сталних</w:t>
      </w:r>
      <w:r>
        <w:rPr>
          <w:spacing w:val="-5"/>
          <w:sz w:val="18"/>
        </w:rPr>
        <w:t> </w:t>
      </w:r>
      <w:r>
        <w:rPr>
          <w:sz w:val="18"/>
        </w:rPr>
        <w:t>примања</w:t>
      </w:r>
      <w:r>
        <w:rPr>
          <w:spacing w:val="-2"/>
          <w:sz w:val="18"/>
        </w:rPr>
        <w:t> </w:t>
      </w:r>
      <w:r>
        <w:rPr>
          <w:sz w:val="18"/>
        </w:rPr>
        <w:t>код</w:t>
      </w:r>
      <w:r>
        <w:rPr>
          <w:spacing w:val="-4"/>
          <w:sz w:val="18"/>
        </w:rPr>
        <w:t> </w:t>
      </w:r>
      <w:r>
        <w:rPr>
          <w:sz w:val="18"/>
        </w:rPr>
        <w:t>корисника</w:t>
      </w:r>
      <w:r>
        <w:rPr>
          <w:spacing w:val="-4"/>
          <w:sz w:val="18"/>
        </w:rPr>
        <w:t> </w:t>
      </w:r>
      <w:r>
        <w:rPr>
          <w:sz w:val="18"/>
        </w:rPr>
        <w:t>јавних</w:t>
      </w:r>
      <w:r>
        <w:rPr>
          <w:spacing w:val="-2"/>
          <w:sz w:val="18"/>
        </w:rPr>
        <w:t> </w:t>
      </w:r>
      <w:r>
        <w:rPr>
          <w:sz w:val="18"/>
        </w:rPr>
        <w:t>средстава</w:t>
      </w:r>
      <w:r>
        <w:rPr>
          <w:spacing w:val="-4"/>
          <w:sz w:val="18"/>
        </w:rPr>
        <w:t> </w:t>
      </w:r>
      <w:r>
        <w:rPr>
          <w:sz w:val="18"/>
        </w:rPr>
        <w:t>(„Службени</w:t>
      </w:r>
      <w:r>
        <w:rPr>
          <w:spacing w:val="-4"/>
          <w:sz w:val="18"/>
        </w:rPr>
        <w:t> </w:t>
      </w:r>
      <w:r>
        <w:rPr>
          <w:sz w:val="18"/>
        </w:rPr>
        <w:t>гласник РСˮ, број 86/19-34)</w:t>
      </w:r>
    </w:p>
    <w:p>
      <w:pPr>
        <w:spacing w:line="208" w:lineRule="exact" w:before="0"/>
        <w:ind w:left="360" w:right="0" w:firstLine="0"/>
        <w:jc w:val="both"/>
        <w:rPr>
          <w:sz w:val="18"/>
        </w:rPr>
      </w:pPr>
      <w:r>
        <w:rPr>
          <w:position w:val="6"/>
          <w:sz w:val="12"/>
        </w:rPr>
        <w:t>6</w:t>
      </w:r>
      <w:r>
        <w:rPr>
          <w:spacing w:val="14"/>
          <w:position w:val="6"/>
          <w:sz w:val="12"/>
        </w:rPr>
        <w:t> </w:t>
      </w:r>
      <w:r>
        <w:rPr>
          <w:sz w:val="18"/>
        </w:rPr>
        <w:t>Извор:</w:t>
      </w:r>
      <w:r>
        <w:rPr>
          <w:spacing w:val="-3"/>
          <w:sz w:val="18"/>
        </w:rPr>
        <w:t> </w:t>
      </w:r>
      <w:r>
        <w:rPr>
          <w:sz w:val="18"/>
        </w:rPr>
        <w:t>РЗС,</w:t>
      </w:r>
      <w:r>
        <w:rPr>
          <w:spacing w:val="-3"/>
          <w:sz w:val="18"/>
        </w:rPr>
        <w:t> </w:t>
      </w:r>
      <w:r>
        <w:rPr>
          <w:sz w:val="18"/>
        </w:rPr>
        <w:t>Процене</w:t>
      </w:r>
      <w:r>
        <w:rPr>
          <w:spacing w:val="-2"/>
          <w:sz w:val="18"/>
        </w:rPr>
        <w:t> </w:t>
      </w:r>
      <w:r>
        <w:rPr>
          <w:sz w:val="18"/>
        </w:rPr>
        <w:t>становништва</w:t>
      </w:r>
      <w:r>
        <w:rPr>
          <w:spacing w:val="-2"/>
          <w:sz w:val="18"/>
        </w:rPr>
        <w:t> </w:t>
      </w:r>
      <w:r>
        <w:rPr>
          <w:sz w:val="18"/>
        </w:rPr>
        <w:t>средином</w:t>
      </w:r>
      <w:r>
        <w:rPr>
          <w:spacing w:val="-2"/>
          <w:sz w:val="18"/>
        </w:rPr>
        <w:t> </w:t>
      </w:r>
      <w:r>
        <w:rPr>
          <w:sz w:val="18"/>
        </w:rPr>
        <w:t>године,</w:t>
      </w:r>
      <w:r>
        <w:rPr>
          <w:spacing w:val="1"/>
          <w:sz w:val="18"/>
        </w:rPr>
        <w:t> </w:t>
      </w:r>
      <w:r>
        <w:rPr>
          <w:spacing w:val="-2"/>
          <w:sz w:val="18"/>
        </w:rPr>
        <w:t>(2019.)</w:t>
      </w:r>
    </w:p>
    <w:p>
      <w:pPr>
        <w:spacing w:after="0" w:line="208" w:lineRule="exact"/>
        <w:jc w:val="both"/>
        <w:rPr>
          <w:sz w:val="18"/>
        </w:rPr>
        <w:sectPr>
          <w:pgSz w:w="12240" w:h="15840"/>
          <w:pgMar w:header="0" w:footer="702" w:top="1360" w:bottom="900" w:left="1080" w:right="720"/>
        </w:sectPr>
      </w:pPr>
    </w:p>
    <w:p>
      <w:pPr>
        <w:pStyle w:val="BodyText"/>
        <w:tabs>
          <w:tab w:pos="2613" w:val="left" w:leader="none"/>
        </w:tabs>
        <w:spacing w:before="74"/>
        <w:ind w:left="1025"/>
        <w:jc w:val="left"/>
      </w:pPr>
      <w:r>
        <w:rPr/>
        <mc:AlternateContent>
          <mc:Choice Requires="wps">
            <w:drawing>
              <wp:anchor distT="0" distB="0" distL="0" distR="0" allowOverlap="1" layoutInCell="1" locked="0" behindDoc="1" simplePos="0" relativeHeight="487590400">
                <wp:simplePos x="0" y="0"/>
                <wp:positionH relativeFrom="page">
                  <wp:posOffset>1391411</wp:posOffset>
                </wp:positionH>
                <wp:positionV relativeFrom="paragraph">
                  <wp:posOffset>253491</wp:posOffset>
                </wp:positionV>
                <wp:extent cx="4980940" cy="2723515"/>
                <wp:effectExtent l="0" t="0" r="0" b="0"/>
                <wp:wrapTopAndBottom/>
                <wp:docPr id="7" name="Group 7"/>
                <wp:cNvGraphicFramePr>
                  <a:graphicFrameLocks/>
                </wp:cNvGraphicFramePr>
                <a:graphic>
                  <a:graphicData uri="http://schemas.microsoft.com/office/word/2010/wordprocessingGroup">
                    <wpg:wgp>
                      <wpg:cNvPr id="7" name="Group 7"/>
                      <wpg:cNvGrpSpPr/>
                      <wpg:grpSpPr>
                        <a:xfrm>
                          <a:off x="0" y="0"/>
                          <a:ext cx="4980940" cy="2723515"/>
                          <a:chExt cx="4980940" cy="2723515"/>
                        </a:xfrm>
                      </wpg:grpSpPr>
                      <pic:pic>
                        <pic:nvPicPr>
                          <pic:cNvPr id="8" name="Image 8"/>
                          <pic:cNvPicPr/>
                        </pic:nvPicPr>
                        <pic:blipFill>
                          <a:blip r:embed="rId8" cstate="print"/>
                          <a:stretch>
                            <a:fillRect/>
                          </a:stretch>
                        </pic:blipFill>
                        <pic:spPr>
                          <a:xfrm>
                            <a:off x="182915" y="56768"/>
                            <a:ext cx="4653216" cy="2619374"/>
                          </a:xfrm>
                          <a:prstGeom prst="rect">
                            <a:avLst/>
                          </a:prstGeom>
                        </pic:spPr>
                      </pic:pic>
                      <wps:wsp>
                        <wps:cNvPr id="9" name="Graphic 9"/>
                        <wps:cNvSpPr/>
                        <wps:spPr>
                          <a:xfrm>
                            <a:off x="4572" y="4572"/>
                            <a:ext cx="4971415" cy="2714625"/>
                          </a:xfrm>
                          <a:custGeom>
                            <a:avLst/>
                            <a:gdLst/>
                            <a:ahLst/>
                            <a:cxnLst/>
                            <a:rect l="l" t="t" r="r" b="b"/>
                            <a:pathLst>
                              <a:path w="4971415" h="2714625">
                                <a:moveTo>
                                  <a:pt x="0" y="2714243"/>
                                </a:moveTo>
                                <a:lnTo>
                                  <a:pt x="4971288" y="2714243"/>
                                </a:lnTo>
                                <a:lnTo>
                                  <a:pt x="4971288" y="0"/>
                                </a:lnTo>
                                <a:lnTo>
                                  <a:pt x="0" y="0"/>
                                </a:lnTo>
                                <a:lnTo>
                                  <a:pt x="0" y="271424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559998pt;margin-top:19.959999pt;width:392.2pt;height:214.45pt;mso-position-horizontal-relative:page;mso-position-vertical-relative:paragraph;z-index:-15726080;mso-wrap-distance-left:0;mso-wrap-distance-right:0" id="docshapegroup7" coordorigin="2191,399" coordsize="7844,4289">
                <v:shape style="position:absolute;left:2479;top:488;width:7328;height:4125" type="#_x0000_t75" id="docshape8" stroked="false">
                  <v:imagedata r:id="rId8" o:title=""/>
                </v:shape>
                <v:rect style="position:absolute;left:2198;top:406;width:7829;height:4275" id="docshape9" filled="false" stroked="true" strokeweight=".72pt" strokecolor="#000000">
                  <v:stroke dashstyle="solid"/>
                </v:rect>
                <w10:wrap type="topAndBottom"/>
              </v:group>
            </w:pict>
          </mc:Fallback>
        </mc:AlternateContent>
      </w:r>
      <w:r>
        <w:rPr/>
        <w:t>Графикон</w:t>
      </w:r>
      <w:r>
        <w:rPr>
          <w:spacing w:val="-5"/>
        </w:rPr>
        <w:t> 1.</w:t>
      </w:r>
      <w:r>
        <w:rPr/>
        <w:tab/>
        <w:t>Промена</w:t>
      </w:r>
      <w:r>
        <w:rPr>
          <w:spacing w:val="-4"/>
        </w:rPr>
        <w:t> </w:t>
      </w:r>
      <w:r>
        <w:rPr/>
        <w:t>броја</w:t>
      </w:r>
      <w:r>
        <w:rPr>
          <w:spacing w:val="-3"/>
        </w:rPr>
        <w:t> </w:t>
      </w:r>
      <w:r>
        <w:rPr/>
        <w:t>становника</w:t>
      </w:r>
      <w:r>
        <w:rPr>
          <w:spacing w:val="-3"/>
        </w:rPr>
        <w:t> </w:t>
      </w:r>
      <w:r>
        <w:rPr/>
        <w:t>по</w:t>
      </w:r>
      <w:r>
        <w:rPr>
          <w:spacing w:val="-3"/>
        </w:rPr>
        <w:t> </w:t>
      </w:r>
      <w:r>
        <w:rPr/>
        <w:t>старосним</w:t>
      </w:r>
      <w:r>
        <w:rPr>
          <w:spacing w:val="-4"/>
        </w:rPr>
        <w:t> </w:t>
      </w:r>
      <w:r>
        <w:rPr/>
        <w:t>кохортама,</w:t>
      </w:r>
      <w:r>
        <w:rPr>
          <w:spacing w:val="-2"/>
        </w:rPr>
        <w:t> 2019/2011</w:t>
      </w:r>
    </w:p>
    <w:p>
      <w:pPr>
        <w:spacing w:before="30"/>
        <w:ind w:left="1154" w:right="0" w:firstLine="0"/>
        <w:jc w:val="left"/>
        <w:rPr>
          <w:i/>
          <w:sz w:val="20"/>
        </w:rPr>
      </w:pPr>
      <w:r>
        <w:rPr>
          <w:i/>
          <w:sz w:val="20"/>
        </w:rPr>
        <w:t>Извор:</w:t>
      </w:r>
      <w:r>
        <w:rPr>
          <w:i/>
          <w:spacing w:val="-6"/>
          <w:sz w:val="20"/>
        </w:rPr>
        <w:t> </w:t>
      </w:r>
      <w:r>
        <w:rPr>
          <w:i/>
          <w:spacing w:val="-5"/>
          <w:sz w:val="20"/>
        </w:rPr>
        <w:t>РЗС</w:t>
      </w:r>
    </w:p>
    <w:p>
      <w:pPr>
        <w:pStyle w:val="BodyText"/>
        <w:spacing w:before="229"/>
        <w:ind w:right="716" w:firstLine="719"/>
      </w:pPr>
      <w:r>
        <w:rPr/>
        <w:t>На регионалном нивоу, једино Београдски регион бележи раст броја становника (повећање од 36 хиљаде у 2019. у односу на 2011. годину), док се најизраженији пад броја становника бележи у</w:t>
      </w:r>
      <w:r>
        <w:rPr>
          <w:spacing w:val="-5"/>
        </w:rPr>
        <w:t> </w:t>
      </w:r>
      <w:r>
        <w:rPr/>
        <w:t>Региону</w:t>
      </w:r>
      <w:r>
        <w:rPr>
          <w:spacing w:val="-5"/>
        </w:rPr>
        <w:t> </w:t>
      </w:r>
      <w:r>
        <w:rPr/>
        <w:t>Шумадије и Западне Србије (смањење од 124,6 хиљада), као и у Региону Јужне и Источне Србије (смањење од 122 хиљаде).</w:t>
      </w:r>
    </w:p>
    <w:p>
      <w:pPr>
        <w:pStyle w:val="BodyText"/>
        <w:spacing w:before="121"/>
        <w:ind w:right="712" w:firstLine="719"/>
      </w:pPr>
      <w:r>
        <w:rPr/>
        <w:t>За Србију је карактеристичан процес демографског старења становништва, који се манифестује</w:t>
      </w:r>
      <w:r>
        <w:rPr>
          <w:spacing w:val="-3"/>
        </w:rPr>
        <w:t> </w:t>
      </w:r>
      <w:r>
        <w:rPr/>
        <w:t>континуирано</w:t>
      </w:r>
      <w:r>
        <w:rPr>
          <w:spacing w:val="-2"/>
        </w:rPr>
        <w:t> </w:t>
      </w:r>
      <w:r>
        <w:rPr/>
        <w:t>растућим</w:t>
      </w:r>
      <w:r>
        <w:rPr>
          <w:spacing w:val="-3"/>
        </w:rPr>
        <w:t> </w:t>
      </w:r>
      <w:r>
        <w:rPr/>
        <w:t>бројем</w:t>
      </w:r>
      <w:r>
        <w:rPr>
          <w:spacing w:val="-1"/>
        </w:rPr>
        <w:t> </w:t>
      </w:r>
      <w:r>
        <w:rPr/>
        <w:t>старих</w:t>
      </w:r>
      <w:r>
        <w:rPr>
          <w:spacing w:val="-2"/>
        </w:rPr>
        <w:t> </w:t>
      </w:r>
      <w:r>
        <w:rPr/>
        <w:t>и</w:t>
      </w:r>
      <w:r>
        <w:rPr>
          <w:spacing w:val="-1"/>
        </w:rPr>
        <w:t> </w:t>
      </w:r>
      <w:r>
        <w:rPr/>
        <w:t>њиховим</w:t>
      </w:r>
      <w:r>
        <w:rPr>
          <w:spacing w:val="-3"/>
        </w:rPr>
        <w:t> </w:t>
      </w:r>
      <w:r>
        <w:rPr/>
        <w:t>високим</w:t>
      </w:r>
      <w:r>
        <w:rPr>
          <w:spacing w:val="-1"/>
        </w:rPr>
        <w:t> </w:t>
      </w:r>
      <w:r>
        <w:rPr/>
        <w:t>уделом у</w:t>
      </w:r>
      <w:r>
        <w:rPr>
          <w:spacing w:val="-5"/>
        </w:rPr>
        <w:t> </w:t>
      </w:r>
      <w:r>
        <w:rPr/>
        <w:t>укупном становништву,</w:t>
      </w:r>
      <w:r>
        <w:rPr>
          <w:spacing w:val="-3"/>
        </w:rPr>
        <w:t> </w:t>
      </w:r>
      <w:r>
        <w:rPr/>
        <w:t>док</w:t>
      </w:r>
      <w:r>
        <w:rPr>
          <w:spacing w:val="-2"/>
        </w:rPr>
        <w:t> </w:t>
      </w:r>
      <w:r>
        <w:rPr/>
        <w:t>број</w:t>
      </w:r>
      <w:r>
        <w:rPr>
          <w:spacing w:val="-1"/>
        </w:rPr>
        <w:t> </w:t>
      </w:r>
      <w:r>
        <w:rPr/>
        <w:t>младих</w:t>
      </w:r>
      <w:r>
        <w:rPr>
          <w:spacing w:val="-1"/>
        </w:rPr>
        <w:t> </w:t>
      </w:r>
      <w:r>
        <w:rPr/>
        <w:t>опада,</w:t>
      </w:r>
      <w:r>
        <w:rPr>
          <w:spacing w:val="-3"/>
        </w:rPr>
        <w:t> </w:t>
      </w:r>
      <w:r>
        <w:rPr/>
        <w:t>а</w:t>
      </w:r>
      <w:r>
        <w:rPr>
          <w:spacing w:val="-4"/>
        </w:rPr>
        <w:t> </w:t>
      </w:r>
      <w:r>
        <w:rPr/>
        <w:t>њихово</w:t>
      </w:r>
      <w:r>
        <w:rPr>
          <w:spacing w:val="-1"/>
        </w:rPr>
        <w:t> </w:t>
      </w:r>
      <w:r>
        <w:rPr/>
        <w:t>учешће у</w:t>
      </w:r>
      <w:r>
        <w:rPr>
          <w:spacing w:val="-4"/>
        </w:rPr>
        <w:t> </w:t>
      </w:r>
      <w:r>
        <w:rPr/>
        <w:t>укупном</w:t>
      </w:r>
      <w:r>
        <w:rPr>
          <w:spacing w:val="-2"/>
        </w:rPr>
        <w:t> </w:t>
      </w:r>
      <w:r>
        <w:rPr/>
        <w:t>становништву</w:t>
      </w:r>
      <w:r>
        <w:rPr>
          <w:spacing w:val="-8"/>
        </w:rPr>
        <w:t> </w:t>
      </w:r>
      <w:r>
        <w:rPr/>
        <w:t>је</w:t>
      </w:r>
      <w:r>
        <w:rPr>
          <w:spacing w:val="-3"/>
        </w:rPr>
        <w:t> </w:t>
      </w:r>
      <w:r>
        <w:rPr/>
        <w:t>ниско. Према подацима за 2019. годину број лица старих 65 и више година је 1,44 милиона – повећање од 189 хиљаде лица у односу на 2011. годину, а удео у укупном становништву износи</w:t>
      </w:r>
      <w:r>
        <w:rPr>
          <w:spacing w:val="-15"/>
        </w:rPr>
        <w:t> </w:t>
      </w:r>
      <w:r>
        <w:rPr/>
        <w:t>20,7%,</w:t>
      </w:r>
      <w:r>
        <w:rPr>
          <w:spacing w:val="-15"/>
        </w:rPr>
        <w:t> </w:t>
      </w:r>
      <w:r>
        <w:rPr/>
        <w:t>што</w:t>
      </w:r>
      <w:r>
        <w:rPr>
          <w:spacing w:val="-15"/>
        </w:rPr>
        <w:t> </w:t>
      </w:r>
      <w:r>
        <w:rPr/>
        <w:t>такође</w:t>
      </w:r>
      <w:r>
        <w:rPr>
          <w:spacing w:val="-15"/>
        </w:rPr>
        <w:t> </w:t>
      </w:r>
      <w:r>
        <w:rPr/>
        <w:t>представља</w:t>
      </w:r>
      <w:r>
        <w:rPr>
          <w:spacing w:val="-15"/>
        </w:rPr>
        <w:t> </w:t>
      </w:r>
      <w:r>
        <w:rPr/>
        <w:t>повећање,</w:t>
      </w:r>
      <w:r>
        <w:rPr>
          <w:spacing w:val="-15"/>
        </w:rPr>
        <w:t> </w:t>
      </w:r>
      <w:r>
        <w:rPr/>
        <w:t>и</w:t>
      </w:r>
      <w:r>
        <w:rPr>
          <w:spacing w:val="-15"/>
        </w:rPr>
        <w:t> </w:t>
      </w:r>
      <w:r>
        <w:rPr/>
        <w:t>то</w:t>
      </w:r>
      <w:r>
        <w:rPr>
          <w:spacing w:val="-14"/>
        </w:rPr>
        <w:t> </w:t>
      </w:r>
      <w:r>
        <w:rPr/>
        <w:t>од</w:t>
      </w:r>
      <w:r>
        <w:rPr>
          <w:spacing w:val="-14"/>
        </w:rPr>
        <w:t> </w:t>
      </w:r>
      <w:r>
        <w:rPr/>
        <w:t>3,4</w:t>
      </w:r>
      <w:r>
        <w:rPr>
          <w:spacing w:val="-14"/>
        </w:rPr>
        <w:t> </w:t>
      </w:r>
      <w:r>
        <w:rPr/>
        <w:t>процентна</w:t>
      </w:r>
      <w:r>
        <w:rPr>
          <w:spacing w:val="-15"/>
        </w:rPr>
        <w:t> </w:t>
      </w:r>
      <w:r>
        <w:rPr/>
        <w:t>поена</w:t>
      </w:r>
      <w:r>
        <w:rPr>
          <w:spacing w:val="-11"/>
        </w:rPr>
        <w:t> </w:t>
      </w:r>
      <w:r>
        <w:rPr/>
        <w:t>(17,2%</w:t>
      </w:r>
      <w:r>
        <w:rPr>
          <w:spacing w:val="-13"/>
        </w:rPr>
        <w:t> </w:t>
      </w:r>
      <w:r>
        <w:rPr/>
        <w:t>у</w:t>
      </w:r>
      <w:r>
        <w:rPr>
          <w:spacing w:val="-15"/>
        </w:rPr>
        <w:t> </w:t>
      </w:r>
      <w:r>
        <w:rPr/>
        <w:t>2011). На</w:t>
      </w:r>
      <w:r>
        <w:rPr>
          <w:spacing w:val="-5"/>
        </w:rPr>
        <w:t> </w:t>
      </w:r>
      <w:r>
        <w:rPr/>
        <w:t>повећање</w:t>
      </w:r>
      <w:r>
        <w:rPr>
          <w:spacing w:val="-4"/>
        </w:rPr>
        <w:t> </w:t>
      </w:r>
      <w:r>
        <w:rPr/>
        <w:t>броја</w:t>
      </w:r>
      <w:r>
        <w:rPr>
          <w:spacing w:val="-3"/>
        </w:rPr>
        <w:t> </w:t>
      </w:r>
      <w:r>
        <w:rPr/>
        <w:t>старих,</w:t>
      </w:r>
      <w:r>
        <w:rPr>
          <w:spacing w:val="-6"/>
        </w:rPr>
        <w:t> </w:t>
      </w:r>
      <w:r>
        <w:rPr/>
        <w:t>између</w:t>
      </w:r>
      <w:r>
        <w:rPr>
          <w:spacing w:val="-8"/>
        </w:rPr>
        <w:t> </w:t>
      </w:r>
      <w:r>
        <w:rPr/>
        <w:t>осталог,</w:t>
      </w:r>
      <w:r>
        <w:rPr>
          <w:spacing w:val="-1"/>
        </w:rPr>
        <w:t> </w:t>
      </w:r>
      <w:r>
        <w:rPr/>
        <w:t>утиче</w:t>
      </w:r>
      <w:r>
        <w:rPr>
          <w:spacing w:val="-4"/>
        </w:rPr>
        <w:t> </w:t>
      </w:r>
      <w:r>
        <w:rPr/>
        <w:t>и</w:t>
      </w:r>
      <w:r>
        <w:rPr>
          <w:spacing w:val="-3"/>
        </w:rPr>
        <w:t> </w:t>
      </w:r>
      <w:r>
        <w:rPr/>
        <w:t>продужење</w:t>
      </w:r>
      <w:r>
        <w:rPr>
          <w:spacing w:val="-4"/>
        </w:rPr>
        <w:t> </w:t>
      </w:r>
      <w:r>
        <w:rPr/>
        <w:t>очекиваног</w:t>
      </w:r>
      <w:r>
        <w:rPr>
          <w:spacing w:val="-4"/>
        </w:rPr>
        <w:t> </w:t>
      </w:r>
      <w:r>
        <w:rPr/>
        <w:t>трајања</w:t>
      </w:r>
      <w:r>
        <w:rPr>
          <w:spacing w:val="-4"/>
        </w:rPr>
        <w:t> </w:t>
      </w:r>
      <w:r>
        <w:rPr/>
        <w:t>живота, које за укупно становништво износи 1,5 година – од 74,2 године у 2011. до 75,7 година у 2019. години. Просечна старост становништва Србије износи чак 43,3 године, што Србију сврстава</w:t>
      </w:r>
      <w:r>
        <w:rPr>
          <w:spacing w:val="-4"/>
        </w:rPr>
        <w:t> </w:t>
      </w:r>
      <w:r>
        <w:rPr/>
        <w:t>у</w:t>
      </w:r>
      <w:r>
        <w:rPr>
          <w:spacing w:val="-10"/>
        </w:rPr>
        <w:t> </w:t>
      </w:r>
      <w:r>
        <w:rPr/>
        <w:t>групу</w:t>
      </w:r>
      <w:r>
        <w:rPr>
          <w:spacing w:val="-10"/>
        </w:rPr>
        <w:t> </w:t>
      </w:r>
      <w:r>
        <w:rPr/>
        <w:t>европски</w:t>
      </w:r>
      <w:r>
        <w:rPr>
          <w:spacing w:val="-7"/>
        </w:rPr>
        <w:t> </w:t>
      </w:r>
      <w:r>
        <w:rPr/>
        <w:t>најстаријих</w:t>
      </w:r>
      <w:r>
        <w:rPr>
          <w:spacing w:val="-6"/>
        </w:rPr>
        <w:t> </w:t>
      </w:r>
      <w:r>
        <w:rPr/>
        <w:t>држава</w:t>
      </w:r>
      <w:r>
        <w:rPr>
          <w:vertAlign w:val="superscript"/>
        </w:rPr>
        <w:t>7</w:t>
      </w:r>
      <w:r>
        <w:rPr>
          <w:vertAlign w:val="baseline"/>
        </w:rPr>
        <w:t>.</w:t>
      </w:r>
      <w:r>
        <w:rPr>
          <w:spacing w:val="-6"/>
          <w:vertAlign w:val="baseline"/>
        </w:rPr>
        <w:t> </w:t>
      </w:r>
      <w:r>
        <w:rPr>
          <w:vertAlign w:val="baseline"/>
        </w:rPr>
        <w:t>У</w:t>
      </w:r>
      <w:r>
        <w:rPr>
          <w:spacing w:val="-5"/>
          <w:vertAlign w:val="baseline"/>
        </w:rPr>
        <w:t> </w:t>
      </w:r>
      <w:r>
        <w:rPr>
          <w:vertAlign w:val="baseline"/>
        </w:rPr>
        <w:t>исто</w:t>
      </w:r>
      <w:r>
        <w:rPr>
          <w:spacing w:val="-5"/>
          <w:vertAlign w:val="baseline"/>
        </w:rPr>
        <w:t> </w:t>
      </w:r>
      <w:r>
        <w:rPr>
          <w:vertAlign w:val="baseline"/>
        </w:rPr>
        <w:t>време</w:t>
      </w:r>
      <w:r>
        <w:rPr>
          <w:spacing w:val="-7"/>
          <w:vertAlign w:val="baseline"/>
        </w:rPr>
        <w:t> </w:t>
      </w:r>
      <w:r>
        <w:rPr>
          <w:vertAlign w:val="baseline"/>
        </w:rPr>
        <w:t>број</w:t>
      </w:r>
      <w:r>
        <w:rPr>
          <w:spacing w:val="-5"/>
          <w:vertAlign w:val="baseline"/>
        </w:rPr>
        <w:t> </w:t>
      </w:r>
      <w:r>
        <w:rPr>
          <w:vertAlign w:val="baseline"/>
        </w:rPr>
        <w:t>становника</w:t>
      </w:r>
      <w:r>
        <w:rPr>
          <w:spacing w:val="-7"/>
          <w:vertAlign w:val="baseline"/>
        </w:rPr>
        <w:t> </w:t>
      </w:r>
      <w:r>
        <w:rPr>
          <w:vertAlign w:val="baseline"/>
        </w:rPr>
        <w:t>млађих</w:t>
      </w:r>
      <w:r>
        <w:rPr>
          <w:spacing w:val="-4"/>
          <w:vertAlign w:val="baseline"/>
        </w:rPr>
        <w:t> </w:t>
      </w:r>
      <w:r>
        <w:rPr>
          <w:vertAlign w:val="baseline"/>
        </w:rPr>
        <w:t>од</w:t>
      </w:r>
      <w:r>
        <w:rPr>
          <w:spacing w:val="-8"/>
          <w:vertAlign w:val="baseline"/>
        </w:rPr>
        <w:t> </w:t>
      </w:r>
      <w:r>
        <w:rPr>
          <w:vertAlign w:val="baseline"/>
        </w:rPr>
        <w:t>15 година, који износи око 992,6 хиљада у 2019. години, смањио се за 50 хиљада лица у наведеном периоду, док је учешће ове кохорте у укупном становништву само 14,3%.</w:t>
      </w:r>
    </w:p>
    <w:p>
      <w:pPr>
        <w:pStyle w:val="BodyText"/>
        <w:spacing w:before="121"/>
        <w:ind w:right="711" w:firstLine="719"/>
      </w:pPr>
      <w:r>
        <w:rPr/>
        <w:t>На смањење становништва у Србији утичу два узрока: негативан природни прираштај и миграциона компонента. Негативан природни прираштај бележи се скоро трећу деценију</w:t>
      </w:r>
      <w:r>
        <w:rPr>
          <w:vertAlign w:val="superscript"/>
        </w:rPr>
        <w:t>8</w:t>
      </w:r>
      <w:r>
        <w:rPr>
          <w:vertAlign w:val="baseline"/>
        </w:rPr>
        <w:t> заредом: број живорођених је био за 37 хиљада мањи од броја умрлих у 2019. години, док је стопа природног прираштаја износила </w:t>
      </w:r>
      <w:r>
        <w:rPr>
          <w:b/>
          <w:vertAlign w:val="baseline"/>
        </w:rPr>
        <w:t>-</w:t>
      </w:r>
      <w:r>
        <w:rPr>
          <w:vertAlign w:val="baseline"/>
        </w:rPr>
        <w:t>5,3 промила</w:t>
      </w:r>
      <w:r>
        <w:rPr>
          <w:vertAlign w:val="superscript"/>
        </w:rPr>
        <w:t>9</w:t>
      </w:r>
      <w:r>
        <w:rPr>
          <w:vertAlign w:val="baseline"/>
        </w:rPr>
        <w:t> (‰). Само на основу</w:t>
      </w:r>
      <w:r>
        <w:rPr>
          <w:spacing w:val="-15"/>
          <w:vertAlign w:val="baseline"/>
        </w:rPr>
        <w:t> </w:t>
      </w:r>
      <w:r>
        <w:rPr>
          <w:vertAlign w:val="baseline"/>
        </w:rPr>
        <w:t>природног</w:t>
      </w:r>
      <w:r>
        <w:rPr>
          <w:spacing w:val="-15"/>
          <w:vertAlign w:val="baseline"/>
        </w:rPr>
        <w:t> </w:t>
      </w:r>
      <w:r>
        <w:rPr>
          <w:vertAlign w:val="baseline"/>
        </w:rPr>
        <w:t>прираштаја</w:t>
      </w:r>
      <w:r>
        <w:rPr>
          <w:spacing w:val="-15"/>
          <w:vertAlign w:val="baseline"/>
        </w:rPr>
        <w:t> </w:t>
      </w:r>
      <w:r>
        <w:rPr>
          <w:vertAlign w:val="baseline"/>
        </w:rPr>
        <w:t>број</w:t>
      </w:r>
      <w:r>
        <w:rPr>
          <w:spacing w:val="-15"/>
          <w:vertAlign w:val="baseline"/>
        </w:rPr>
        <w:t> </w:t>
      </w:r>
      <w:r>
        <w:rPr>
          <w:vertAlign w:val="baseline"/>
        </w:rPr>
        <w:t>становника</w:t>
      </w:r>
      <w:r>
        <w:rPr>
          <w:spacing w:val="-15"/>
          <w:vertAlign w:val="baseline"/>
        </w:rPr>
        <w:t> </w:t>
      </w:r>
      <w:r>
        <w:rPr>
          <w:vertAlign w:val="baseline"/>
        </w:rPr>
        <w:t>је</w:t>
      </w:r>
      <w:r>
        <w:rPr>
          <w:spacing w:val="-15"/>
          <w:vertAlign w:val="baseline"/>
        </w:rPr>
        <w:t> </w:t>
      </w:r>
      <w:r>
        <w:rPr>
          <w:vertAlign w:val="baseline"/>
        </w:rPr>
        <w:t>смањен</w:t>
      </w:r>
      <w:r>
        <w:rPr>
          <w:spacing w:val="-15"/>
          <w:vertAlign w:val="baseline"/>
        </w:rPr>
        <w:t> </w:t>
      </w:r>
      <w:r>
        <w:rPr>
          <w:vertAlign w:val="baseline"/>
        </w:rPr>
        <w:t>за</w:t>
      </w:r>
      <w:r>
        <w:rPr>
          <w:spacing w:val="-15"/>
          <w:vertAlign w:val="baseline"/>
        </w:rPr>
        <w:t> </w:t>
      </w:r>
      <w:r>
        <w:rPr>
          <w:vertAlign w:val="baseline"/>
        </w:rPr>
        <w:t>око</w:t>
      </w:r>
      <w:r>
        <w:rPr>
          <w:spacing w:val="-15"/>
          <w:vertAlign w:val="baseline"/>
        </w:rPr>
        <w:t> </w:t>
      </w:r>
      <w:r>
        <w:rPr>
          <w:vertAlign w:val="baseline"/>
        </w:rPr>
        <w:t>330</w:t>
      </w:r>
      <w:r>
        <w:rPr>
          <w:spacing w:val="-15"/>
          <w:vertAlign w:val="baseline"/>
        </w:rPr>
        <w:t> </w:t>
      </w:r>
      <w:r>
        <w:rPr>
          <w:vertAlign w:val="baseline"/>
        </w:rPr>
        <w:t>хиљада</w:t>
      </w:r>
      <w:r>
        <w:rPr>
          <w:spacing w:val="-15"/>
          <w:vertAlign w:val="baseline"/>
        </w:rPr>
        <w:t> </w:t>
      </w:r>
      <w:r>
        <w:rPr>
          <w:vertAlign w:val="baseline"/>
        </w:rPr>
        <w:t>у</w:t>
      </w:r>
      <w:r>
        <w:rPr>
          <w:spacing w:val="-15"/>
          <w:vertAlign w:val="baseline"/>
        </w:rPr>
        <w:t> </w:t>
      </w:r>
      <w:r>
        <w:rPr>
          <w:vertAlign w:val="baseline"/>
        </w:rPr>
        <w:t>периоду</w:t>
      </w:r>
      <w:r>
        <w:rPr>
          <w:spacing w:val="-15"/>
          <w:vertAlign w:val="baseline"/>
        </w:rPr>
        <w:t> </w:t>
      </w:r>
      <w:r>
        <w:rPr>
          <w:vertAlign w:val="baseline"/>
        </w:rPr>
        <w:t>2011– </w:t>
      </w:r>
      <w:r>
        <w:rPr>
          <w:spacing w:val="-2"/>
          <w:vertAlign w:val="baseline"/>
        </w:rPr>
        <w:t>2019.</w:t>
      </w:r>
      <w:r>
        <w:rPr>
          <w:spacing w:val="-6"/>
          <w:vertAlign w:val="baseline"/>
        </w:rPr>
        <w:t> </w:t>
      </w:r>
      <w:r>
        <w:rPr>
          <w:spacing w:val="-2"/>
          <w:vertAlign w:val="baseline"/>
        </w:rPr>
        <w:t>године.</w:t>
      </w:r>
      <w:r>
        <w:rPr>
          <w:spacing w:val="-3"/>
          <w:vertAlign w:val="baseline"/>
        </w:rPr>
        <w:t> </w:t>
      </w:r>
      <w:r>
        <w:rPr>
          <w:spacing w:val="-2"/>
          <w:vertAlign w:val="baseline"/>
        </w:rPr>
        <w:t>Општине</w:t>
      </w:r>
      <w:r>
        <w:rPr>
          <w:spacing w:val="-7"/>
          <w:vertAlign w:val="baseline"/>
        </w:rPr>
        <w:t> </w:t>
      </w:r>
      <w:r>
        <w:rPr>
          <w:spacing w:val="-2"/>
          <w:vertAlign w:val="baseline"/>
        </w:rPr>
        <w:t>са</w:t>
      </w:r>
      <w:r>
        <w:rPr>
          <w:spacing w:val="-5"/>
          <w:vertAlign w:val="baseline"/>
        </w:rPr>
        <w:t> </w:t>
      </w:r>
      <w:r>
        <w:rPr>
          <w:spacing w:val="-2"/>
          <w:vertAlign w:val="baseline"/>
        </w:rPr>
        <w:t>највећим</w:t>
      </w:r>
      <w:r>
        <w:rPr>
          <w:spacing w:val="-1"/>
          <w:vertAlign w:val="baseline"/>
        </w:rPr>
        <w:t> </w:t>
      </w:r>
      <w:r>
        <w:rPr>
          <w:spacing w:val="-2"/>
          <w:vertAlign w:val="baseline"/>
        </w:rPr>
        <w:t>негативним</w:t>
      </w:r>
      <w:r>
        <w:rPr>
          <w:spacing w:val="-5"/>
          <w:vertAlign w:val="baseline"/>
        </w:rPr>
        <w:t> </w:t>
      </w:r>
      <w:r>
        <w:rPr>
          <w:spacing w:val="-2"/>
          <w:vertAlign w:val="baseline"/>
        </w:rPr>
        <w:t>природним</w:t>
      </w:r>
      <w:r>
        <w:rPr>
          <w:spacing w:val="-5"/>
          <w:vertAlign w:val="baseline"/>
        </w:rPr>
        <w:t> </w:t>
      </w:r>
      <w:r>
        <w:rPr>
          <w:spacing w:val="-2"/>
          <w:vertAlign w:val="baseline"/>
        </w:rPr>
        <w:t>прираштајем</w:t>
      </w:r>
      <w:r>
        <w:rPr>
          <w:spacing w:val="-5"/>
          <w:vertAlign w:val="baseline"/>
        </w:rPr>
        <w:t> </w:t>
      </w:r>
      <w:r>
        <w:rPr>
          <w:spacing w:val="-2"/>
          <w:vertAlign w:val="baseline"/>
        </w:rPr>
        <w:t>налазе</w:t>
      </w:r>
      <w:r>
        <w:rPr>
          <w:spacing w:val="-5"/>
          <w:vertAlign w:val="baseline"/>
        </w:rPr>
        <w:t> </w:t>
      </w:r>
      <w:r>
        <w:rPr>
          <w:spacing w:val="-2"/>
          <w:vertAlign w:val="baseline"/>
        </w:rPr>
        <w:t>се</w:t>
      </w:r>
      <w:r>
        <w:rPr>
          <w:spacing w:val="2"/>
          <w:vertAlign w:val="baseline"/>
        </w:rPr>
        <w:t> </w:t>
      </w:r>
      <w:r>
        <w:rPr>
          <w:spacing w:val="-2"/>
          <w:vertAlign w:val="baseline"/>
        </w:rPr>
        <w:t>углавном</w:t>
      </w:r>
    </w:p>
    <w:p>
      <w:pPr>
        <w:pStyle w:val="BodyText"/>
        <w:spacing w:before="8"/>
        <w:ind w:left="0"/>
        <w:jc w:val="left"/>
        <w:rPr>
          <w:sz w:val="14"/>
        </w:rPr>
      </w:pPr>
      <w:r>
        <w:rPr>
          <w:sz w:val="14"/>
        </w:rPr>
        <mc:AlternateContent>
          <mc:Choice Requires="wps">
            <w:drawing>
              <wp:anchor distT="0" distB="0" distL="0" distR="0" allowOverlap="1" layoutInCell="1" locked="0" behindDoc="1" simplePos="0" relativeHeight="487590912">
                <wp:simplePos x="0" y="0"/>
                <wp:positionH relativeFrom="page">
                  <wp:posOffset>914704</wp:posOffset>
                </wp:positionH>
                <wp:positionV relativeFrom="paragraph">
                  <wp:posOffset>122641</wp:posOffset>
                </wp:positionV>
                <wp:extent cx="1829435" cy="952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656788pt;width:144.020pt;height:.71997pt;mso-position-horizontal-relative:page;mso-position-vertical-relative:paragraph;z-index:-15725568;mso-wrap-distance-left:0;mso-wrap-distance-right:0" id="docshape10" filled="true" fillcolor="#000000" stroked="false">
                <v:fill type="solid"/>
                <w10:wrap type="topAndBottom"/>
              </v:rect>
            </w:pict>
          </mc:Fallback>
        </mc:AlternateContent>
      </w:r>
    </w:p>
    <w:p>
      <w:pPr>
        <w:spacing w:before="94"/>
        <w:ind w:left="360" w:right="0" w:firstLine="0"/>
        <w:jc w:val="left"/>
        <w:rPr>
          <w:sz w:val="18"/>
        </w:rPr>
      </w:pPr>
      <w:r>
        <w:rPr>
          <w:position w:val="6"/>
          <w:sz w:val="12"/>
        </w:rPr>
        <w:t>7</w:t>
      </w:r>
      <w:r>
        <w:rPr>
          <w:spacing w:val="30"/>
          <w:position w:val="6"/>
          <w:sz w:val="12"/>
        </w:rPr>
        <w:t> </w:t>
      </w:r>
      <w:r>
        <w:rPr>
          <w:sz w:val="18"/>
        </w:rPr>
        <w:t>Европске</w:t>
      </w:r>
      <w:r>
        <w:rPr>
          <w:spacing w:val="14"/>
          <w:sz w:val="18"/>
        </w:rPr>
        <w:t> </w:t>
      </w:r>
      <w:r>
        <w:rPr>
          <w:sz w:val="18"/>
        </w:rPr>
        <w:t>државе</w:t>
      </w:r>
      <w:r>
        <w:rPr>
          <w:spacing w:val="15"/>
          <w:sz w:val="18"/>
        </w:rPr>
        <w:t> </w:t>
      </w:r>
      <w:r>
        <w:rPr>
          <w:sz w:val="18"/>
        </w:rPr>
        <w:t>са</w:t>
      </w:r>
      <w:r>
        <w:rPr>
          <w:spacing w:val="14"/>
          <w:sz w:val="18"/>
        </w:rPr>
        <w:t> </w:t>
      </w:r>
      <w:r>
        <w:rPr>
          <w:sz w:val="18"/>
        </w:rPr>
        <w:t>најстаријим</w:t>
      </w:r>
      <w:r>
        <w:rPr>
          <w:spacing w:val="14"/>
          <w:sz w:val="18"/>
        </w:rPr>
        <w:t> </w:t>
      </w:r>
      <w:r>
        <w:rPr>
          <w:sz w:val="18"/>
        </w:rPr>
        <w:t>становништвом</w:t>
      </w:r>
      <w:r>
        <w:rPr>
          <w:spacing w:val="16"/>
          <w:sz w:val="18"/>
        </w:rPr>
        <w:t> </w:t>
      </w:r>
      <w:r>
        <w:rPr>
          <w:sz w:val="18"/>
        </w:rPr>
        <w:t>у</w:t>
      </w:r>
      <w:r>
        <w:rPr>
          <w:spacing w:val="12"/>
          <w:sz w:val="18"/>
        </w:rPr>
        <w:t> </w:t>
      </w:r>
      <w:r>
        <w:rPr>
          <w:sz w:val="18"/>
        </w:rPr>
        <w:t>2019.</w:t>
      </w:r>
      <w:r>
        <w:rPr>
          <w:spacing w:val="13"/>
          <w:sz w:val="18"/>
        </w:rPr>
        <w:t> </w:t>
      </w:r>
      <w:r>
        <w:rPr>
          <w:sz w:val="18"/>
        </w:rPr>
        <w:t>години:</w:t>
      </w:r>
      <w:r>
        <w:rPr>
          <w:spacing w:val="16"/>
          <w:sz w:val="18"/>
        </w:rPr>
        <w:t> </w:t>
      </w:r>
      <w:r>
        <w:rPr>
          <w:sz w:val="18"/>
        </w:rPr>
        <w:t>Италија</w:t>
      </w:r>
      <w:r>
        <w:rPr>
          <w:spacing w:val="14"/>
          <w:sz w:val="18"/>
        </w:rPr>
        <w:t> </w:t>
      </w:r>
      <w:r>
        <w:rPr>
          <w:sz w:val="18"/>
        </w:rPr>
        <w:t>(46,7),</w:t>
      </w:r>
      <w:r>
        <w:rPr>
          <w:spacing w:val="16"/>
          <w:sz w:val="18"/>
        </w:rPr>
        <w:t> </w:t>
      </w:r>
      <w:r>
        <w:rPr>
          <w:sz w:val="18"/>
        </w:rPr>
        <w:t>Немачка</w:t>
      </w:r>
      <w:r>
        <w:rPr>
          <w:spacing w:val="14"/>
          <w:sz w:val="18"/>
        </w:rPr>
        <w:t> </w:t>
      </w:r>
      <w:r>
        <w:rPr>
          <w:sz w:val="18"/>
        </w:rPr>
        <w:t>(46),</w:t>
      </w:r>
      <w:r>
        <w:rPr>
          <w:spacing w:val="14"/>
          <w:sz w:val="18"/>
        </w:rPr>
        <w:t> </w:t>
      </w:r>
      <w:r>
        <w:rPr>
          <w:sz w:val="18"/>
        </w:rPr>
        <w:t>Португал</w:t>
      </w:r>
      <w:r>
        <w:rPr>
          <w:spacing w:val="14"/>
          <w:sz w:val="18"/>
        </w:rPr>
        <w:t> </w:t>
      </w:r>
      <w:r>
        <w:rPr>
          <w:sz w:val="18"/>
        </w:rPr>
        <w:t>(45,2),</w:t>
      </w:r>
      <w:r>
        <w:rPr>
          <w:spacing w:val="14"/>
          <w:sz w:val="18"/>
        </w:rPr>
        <w:t> </w:t>
      </w:r>
      <w:r>
        <w:rPr>
          <w:spacing w:val="-2"/>
          <w:sz w:val="18"/>
        </w:rPr>
        <w:t>Грчка</w:t>
      </w:r>
    </w:p>
    <w:p>
      <w:pPr>
        <w:spacing w:line="205" w:lineRule="exact" w:before="0"/>
        <w:ind w:left="360" w:right="0" w:firstLine="0"/>
        <w:jc w:val="left"/>
        <w:rPr>
          <w:sz w:val="18"/>
        </w:rPr>
      </w:pPr>
      <w:r>
        <w:rPr>
          <w:sz w:val="18"/>
        </w:rPr>
        <w:t>(44,9),</w:t>
      </w:r>
      <w:r>
        <w:rPr>
          <w:spacing w:val="-4"/>
          <w:sz w:val="18"/>
        </w:rPr>
        <w:t> </w:t>
      </w:r>
      <w:r>
        <w:rPr>
          <w:sz w:val="18"/>
        </w:rPr>
        <w:t>Бугарска</w:t>
      </w:r>
      <w:r>
        <w:rPr>
          <w:spacing w:val="-3"/>
          <w:sz w:val="18"/>
        </w:rPr>
        <w:t> </w:t>
      </w:r>
      <w:r>
        <w:rPr>
          <w:spacing w:val="-2"/>
          <w:sz w:val="18"/>
        </w:rPr>
        <w:t>(44,5)</w:t>
      </w:r>
    </w:p>
    <w:p>
      <w:pPr>
        <w:spacing w:line="240" w:lineRule="auto" w:before="0"/>
        <w:ind w:left="360" w:right="713" w:firstLine="0"/>
        <w:jc w:val="left"/>
        <w:rPr>
          <w:sz w:val="18"/>
        </w:rPr>
      </w:pPr>
      <w:r>
        <w:rPr>
          <w:position w:val="6"/>
          <w:sz w:val="12"/>
        </w:rPr>
        <w:t>8</w:t>
      </w:r>
      <w:r>
        <w:rPr>
          <w:spacing w:val="25"/>
          <w:position w:val="6"/>
          <w:sz w:val="12"/>
        </w:rPr>
        <w:t> </w:t>
      </w:r>
      <w:r>
        <w:rPr>
          <w:sz w:val="18"/>
        </w:rPr>
        <w:t>Природни прираштај у Србији је негативан од 1992. године, што значи да на годишњем нивоу више становника умре него што се роди</w:t>
      </w:r>
    </w:p>
    <w:p>
      <w:pPr>
        <w:spacing w:line="240" w:lineRule="auto" w:before="0"/>
        <w:ind w:left="360" w:right="713" w:firstLine="0"/>
        <w:jc w:val="left"/>
        <w:rPr>
          <w:sz w:val="18"/>
        </w:rPr>
      </w:pPr>
      <w:r>
        <w:rPr>
          <w:position w:val="6"/>
          <w:sz w:val="12"/>
        </w:rPr>
        <w:t>9</w:t>
      </w:r>
      <w:r>
        <w:rPr>
          <w:spacing w:val="-7"/>
          <w:position w:val="6"/>
          <w:sz w:val="12"/>
        </w:rPr>
        <w:t> </w:t>
      </w:r>
      <w:r>
        <w:rPr>
          <w:sz w:val="18"/>
        </w:rPr>
        <w:t>Стопа</w:t>
      </w:r>
      <w:r>
        <w:rPr>
          <w:spacing w:val="-11"/>
          <w:sz w:val="18"/>
        </w:rPr>
        <w:t> </w:t>
      </w:r>
      <w:r>
        <w:rPr>
          <w:sz w:val="18"/>
        </w:rPr>
        <w:t>природног</w:t>
      </w:r>
      <w:r>
        <w:rPr>
          <w:spacing w:val="-12"/>
          <w:sz w:val="18"/>
        </w:rPr>
        <w:t> </w:t>
      </w:r>
      <w:r>
        <w:rPr>
          <w:sz w:val="18"/>
        </w:rPr>
        <w:t>прираштаја</w:t>
      </w:r>
      <w:r>
        <w:rPr>
          <w:spacing w:val="-11"/>
          <w:sz w:val="18"/>
        </w:rPr>
        <w:t> </w:t>
      </w:r>
      <w:r>
        <w:rPr>
          <w:sz w:val="18"/>
        </w:rPr>
        <w:t>у</w:t>
      </w:r>
      <w:r>
        <w:rPr>
          <w:spacing w:val="-13"/>
          <w:sz w:val="18"/>
        </w:rPr>
        <w:t> </w:t>
      </w:r>
      <w:r>
        <w:rPr>
          <w:sz w:val="18"/>
        </w:rPr>
        <w:t>2019.</w:t>
      </w:r>
      <w:r>
        <w:rPr>
          <w:spacing w:val="-11"/>
          <w:sz w:val="18"/>
        </w:rPr>
        <w:t> </w:t>
      </w:r>
      <w:r>
        <w:rPr>
          <w:sz w:val="18"/>
        </w:rPr>
        <w:t>години</w:t>
      </w:r>
      <w:r>
        <w:rPr>
          <w:spacing w:val="-11"/>
          <w:sz w:val="18"/>
        </w:rPr>
        <w:t> </w:t>
      </w:r>
      <w:r>
        <w:rPr>
          <w:sz w:val="18"/>
        </w:rPr>
        <w:t>била</w:t>
      </w:r>
      <w:r>
        <w:rPr>
          <w:spacing w:val="-12"/>
          <w:sz w:val="18"/>
        </w:rPr>
        <w:t> </w:t>
      </w:r>
      <w:r>
        <w:rPr>
          <w:sz w:val="18"/>
        </w:rPr>
        <w:t>је</w:t>
      </w:r>
      <w:r>
        <w:rPr>
          <w:spacing w:val="-11"/>
          <w:sz w:val="18"/>
        </w:rPr>
        <w:t> </w:t>
      </w:r>
      <w:r>
        <w:rPr>
          <w:sz w:val="18"/>
        </w:rPr>
        <w:t>позитивна</w:t>
      </w:r>
      <w:r>
        <w:rPr>
          <w:spacing w:val="-13"/>
          <w:sz w:val="18"/>
        </w:rPr>
        <w:t> </w:t>
      </w:r>
      <w:r>
        <w:rPr>
          <w:sz w:val="18"/>
        </w:rPr>
        <w:t>само</w:t>
      </w:r>
      <w:r>
        <w:rPr>
          <w:spacing w:val="-11"/>
          <w:sz w:val="18"/>
        </w:rPr>
        <w:t> </w:t>
      </w:r>
      <w:r>
        <w:rPr>
          <w:sz w:val="18"/>
        </w:rPr>
        <w:t>у</w:t>
      </w:r>
      <w:r>
        <w:rPr>
          <w:spacing w:val="-13"/>
          <w:sz w:val="18"/>
        </w:rPr>
        <w:t> </w:t>
      </w:r>
      <w:r>
        <w:rPr>
          <w:sz w:val="18"/>
        </w:rPr>
        <w:t>седам</w:t>
      </w:r>
      <w:r>
        <w:rPr>
          <w:spacing w:val="-11"/>
          <w:sz w:val="18"/>
        </w:rPr>
        <w:t> </w:t>
      </w:r>
      <w:r>
        <w:rPr>
          <w:sz w:val="18"/>
        </w:rPr>
        <w:t>градова</w:t>
      </w:r>
      <w:r>
        <w:rPr>
          <w:spacing w:val="-12"/>
          <w:sz w:val="18"/>
        </w:rPr>
        <w:t> </w:t>
      </w:r>
      <w:r>
        <w:rPr>
          <w:sz w:val="18"/>
        </w:rPr>
        <w:t>и</w:t>
      </w:r>
      <w:r>
        <w:rPr>
          <w:spacing w:val="-11"/>
          <w:sz w:val="18"/>
        </w:rPr>
        <w:t> </w:t>
      </w:r>
      <w:r>
        <w:rPr>
          <w:sz w:val="18"/>
        </w:rPr>
        <w:t>општина</w:t>
      </w:r>
      <w:r>
        <w:rPr>
          <w:spacing w:val="-13"/>
          <w:sz w:val="18"/>
        </w:rPr>
        <w:t> </w:t>
      </w:r>
      <w:r>
        <w:rPr>
          <w:sz w:val="18"/>
        </w:rPr>
        <w:t>у</w:t>
      </w:r>
      <w:r>
        <w:rPr>
          <w:spacing w:val="-13"/>
          <w:sz w:val="18"/>
        </w:rPr>
        <w:t> </w:t>
      </w:r>
      <w:r>
        <w:rPr>
          <w:sz w:val="18"/>
        </w:rPr>
        <w:t>Србији:</w:t>
      </w:r>
      <w:r>
        <w:rPr>
          <w:spacing w:val="-11"/>
          <w:sz w:val="18"/>
        </w:rPr>
        <w:t> </w:t>
      </w:r>
      <w:r>
        <w:rPr>
          <w:sz w:val="18"/>
        </w:rPr>
        <w:t>Тутину</w:t>
      </w:r>
      <w:r>
        <w:rPr>
          <w:spacing w:val="-11"/>
          <w:sz w:val="18"/>
        </w:rPr>
        <w:t> </w:t>
      </w:r>
      <w:r>
        <w:rPr>
          <w:sz w:val="18"/>
        </w:rPr>
        <w:t>(14,6‰), Новом Пазару (6,8‰), Прешеву (6,5‰), Бујановцу (2,1‰),Сјеници (1,6‰), Новом Саду (0,6‰) и Звездари (0,3‰)</w:t>
      </w:r>
    </w:p>
    <w:p>
      <w:pPr>
        <w:spacing w:after="0" w:line="240" w:lineRule="auto"/>
        <w:jc w:val="left"/>
        <w:rPr>
          <w:sz w:val="18"/>
        </w:rPr>
        <w:sectPr>
          <w:pgSz w:w="12240" w:h="15840"/>
          <w:pgMar w:header="0" w:footer="702" w:top="1360" w:bottom="900" w:left="1080" w:right="720"/>
        </w:sectPr>
      </w:pPr>
    </w:p>
    <w:p>
      <w:pPr>
        <w:pStyle w:val="BodyText"/>
        <w:spacing w:before="72"/>
        <w:ind w:right="714"/>
      </w:pPr>
      <w:r>
        <w:rPr/>
        <w:t>на</w:t>
      </w:r>
      <w:r>
        <w:rPr>
          <w:spacing w:val="-6"/>
        </w:rPr>
        <w:t> </w:t>
      </w:r>
      <w:r>
        <w:rPr/>
        <w:t>привредно</w:t>
      </w:r>
      <w:r>
        <w:rPr>
          <w:spacing w:val="-5"/>
        </w:rPr>
        <w:t> </w:t>
      </w:r>
      <w:r>
        <w:rPr/>
        <w:t>неразвијеном</w:t>
      </w:r>
      <w:r>
        <w:rPr>
          <w:spacing w:val="-6"/>
        </w:rPr>
        <w:t> </w:t>
      </w:r>
      <w:r>
        <w:rPr/>
        <w:t>и</w:t>
      </w:r>
      <w:r>
        <w:rPr>
          <w:spacing w:val="-1"/>
        </w:rPr>
        <w:t> </w:t>
      </w:r>
      <w:r>
        <w:rPr/>
        <w:t>емиграционом</w:t>
      </w:r>
      <w:r>
        <w:rPr>
          <w:spacing w:val="-6"/>
        </w:rPr>
        <w:t> </w:t>
      </w:r>
      <w:r>
        <w:rPr/>
        <w:t>подручју.</w:t>
      </w:r>
      <w:r>
        <w:rPr>
          <w:spacing w:val="-3"/>
        </w:rPr>
        <w:t> </w:t>
      </w:r>
      <w:r>
        <w:rPr/>
        <w:t>Србија</w:t>
      </w:r>
      <w:r>
        <w:rPr>
          <w:spacing w:val="-5"/>
        </w:rPr>
        <w:t> </w:t>
      </w:r>
      <w:r>
        <w:rPr/>
        <w:t>је</w:t>
      </w:r>
      <w:r>
        <w:rPr>
          <w:spacing w:val="-3"/>
        </w:rPr>
        <w:t> </w:t>
      </w:r>
      <w:r>
        <w:rPr/>
        <w:t>по</w:t>
      </w:r>
      <w:r>
        <w:rPr>
          <w:spacing w:val="-5"/>
        </w:rPr>
        <w:t> </w:t>
      </w:r>
      <w:r>
        <w:rPr/>
        <w:t>основу</w:t>
      </w:r>
      <w:r>
        <w:rPr>
          <w:spacing w:val="-8"/>
        </w:rPr>
        <w:t> </w:t>
      </w:r>
      <w:r>
        <w:rPr/>
        <w:t>негативног</w:t>
      </w:r>
      <w:r>
        <w:rPr>
          <w:spacing w:val="-5"/>
        </w:rPr>
        <w:t> </w:t>
      </w:r>
      <w:r>
        <w:rPr/>
        <w:t>нето миграционог</w:t>
      </w:r>
      <w:r>
        <w:rPr>
          <w:spacing w:val="-4"/>
        </w:rPr>
        <w:t> </w:t>
      </w:r>
      <w:r>
        <w:rPr/>
        <w:t>биланса</w:t>
      </w:r>
      <w:r>
        <w:rPr>
          <w:spacing w:val="-3"/>
        </w:rPr>
        <w:t> </w:t>
      </w:r>
      <w:r>
        <w:rPr/>
        <w:t>годишње</w:t>
      </w:r>
      <w:r>
        <w:rPr>
          <w:spacing w:val="-3"/>
        </w:rPr>
        <w:t> </w:t>
      </w:r>
      <w:r>
        <w:rPr/>
        <w:t>губила</w:t>
      </w:r>
      <w:r>
        <w:rPr>
          <w:spacing w:val="-3"/>
        </w:rPr>
        <w:t> </w:t>
      </w:r>
      <w:r>
        <w:rPr/>
        <w:t>око</w:t>
      </w:r>
      <w:r>
        <w:rPr>
          <w:spacing w:val="-2"/>
        </w:rPr>
        <w:t> </w:t>
      </w:r>
      <w:r>
        <w:rPr/>
        <w:t>10-15.000</w:t>
      </w:r>
      <w:r>
        <w:rPr>
          <w:spacing w:val="-2"/>
        </w:rPr>
        <w:t> </w:t>
      </w:r>
      <w:r>
        <w:rPr/>
        <w:t>становника</w:t>
      </w:r>
      <w:r>
        <w:rPr>
          <w:vertAlign w:val="superscript"/>
        </w:rPr>
        <w:t>10</w:t>
      </w:r>
      <w:r>
        <w:rPr>
          <w:spacing w:val="-1"/>
          <w:vertAlign w:val="baseline"/>
        </w:rPr>
        <w:t> </w:t>
      </w:r>
      <w:r>
        <w:rPr>
          <w:vertAlign w:val="baseline"/>
        </w:rPr>
        <w:t>током</w:t>
      </w:r>
      <w:r>
        <w:rPr>
          <w:spacing w:val="-3"/>
          <w:vertAlign w:val="baseline"/>
        </w:rPr>
        <w:t> </w:t>
      </w:r>
      <w:r>
        <w:rPr>
          <w:vertAlign w:val="baseline"/>
        </w:rPr>
        <w:t>ове</w:t>
      </w:r>
      <w:r>
        <w:rPr>
          <w:spacing w:val="-4"/>
          <w:vertAlign w:val="baseline"/>
        </w:rPr>
        <w:t> </w:t>
      </w:r>
      <w:r>
        <w:rPr>
          <w:vertAlign w:val="baseline"/>
        </w:rPr>
        <w:t>деценије</w:t>
      </w:r>
      <w:r>
        <w:rPr>
          <w:spacing w:val="-3"/>
          <w:vertAlign w:val="baseline"/>
        </w:rPr>
        <w:t> </w:t>
      </w:r>
      <w:r>
        <w:rPr>
          <w:vertAlign w:val="baseline"/>
        </w:rPr>
        <w:t>и</w:t>
      </w:r>
      <w:r>
        <w:rPr>
          <w:spacing w:val="-1"/>
          <w:vertAlign w:val="baseline"/>
        </w:rPr>
        <w:t> </w:t>
      </w:r>
      <w:r>
        <w:rPr>
          <w:vertAlign w:val="baseline"/>
        </w:rPr>
        <w:t>тај одлив је био стабилан, према проценама РЗС о миграционим токовима. Међутим, према подацима Евростата, заснованим на статистици чланица ЕУ које су и главне дестинације наших емиграната, миграције су се убрзале у другој половини ове деценије. Томе су допринеле</w:t>
      </w:r>
      <w:r>
        <w:rPr>
          <w:spacing w:val="-14"/>
          <w:vertAlign w:val="baseline"/>
        </w:rPr>
        <w:t> </w:t>
      </w:r>
      <w:r>
        <w:rPr>
          <w:vertAlign w:val="baseline"/>
        </w:rPr>
        <w:t>две</w:t>
      </w:r>
      <w:r>
        <w:rPr>
          <w:spacing w:val="-14"/>
          <w:vertAlign w:val="baseline"/>
        </w:rPr>
        <w:t> </w:t>
      </w:r>
      <w:r>
        <w:rPr>
          <w:vertAlign w:val="baseline"/>
        </w:rPr>
        <w:t>главне</w:t>
      </w:r>
      <w:r>
        <w:rPr>
          <w:spacing w:val="-14"/>
          <w:vertAlign w:val="baseline"/>
        </w:rPr>
        <w:t> </w:t>
      </w:r>
      <w:r>
        <w:rPr>
          <w:vertAlign w:val="baseline"/>
        </w:rPr>
        <w:t>околности</w:t>
      </w:r>
      <w:r>
        <w:rPr>
          <w:spacing w:val="-12"/>
          <w:vertAlign w:val="baseline"/>
        </w:rPr>
        <w:t> </w:t>
      </w:r>
      <w:r>
        <w:rPr>
          <w:vertAlign w:val="baseline"/>
        </w:rPr>
        <w:t>–</w:t>
      </w:r>
      <w:r>
        <w:rPr>
          <w:spacing w:val="-13"/>
          <w:vertAlign w:val="baseline"/>
        </w:rPr>
        <w:t> </w:t>
      </w:r>
      <w:r>
        <w:rPr>
          <w:vertAlign w:val="baseline"/>
        </w:rPr>
        <w:t>олакшавање</w:t>
      </w:r>
      <w:r>
        <w:rPr>
          <w:spacing w:val="-12"/>
          <w:vertAlign w:val="baseline"/>
        </w:rPr>
        <w:t> </w:t>
      </w:r>
      <w:r>
        <w:rPr>
          <w:vertAlign w:val="baseline"/>
        </w:rPr>
        <w:t>регулативе</w:t>
      </w:r>
      <w:r>
        <w:rPr>
          <w:spacing w:val="-14"/>
          <w:vertAlign w:val="baseline"/>
        </w:rPr>
        <w:t> </w:t>
      </w:r>
      <w:r>
        <w:rPr>
          <w:vertAlign w:val="baseline"/>
        </w:rPr>
        <w:t>за</w:t>
      </w:r>
      <w:r>
        <w:rPr>
          <w:spacing w:val="-14"/>
          <w:vertAlign w:val="baseline"/>
        </w:rPr>
        <w:t> </w:t>
      </w:r>
      <w:r>
        <w:rPr>
          <w:vertAlign w:val="baseline"/>
        </w:rPr>
        <w:t>радне</w:t>
      </w:r>
      <w:r>
        <w:rPr>
          <w:spacing w:val="-14"/>
          <w:vertAlign w:val="baseline"/>
        </w:rPr>
        <w:t> </w:t>
      </w:r>
      <w:r>
        <w:rPr>
          <w:vertAlign w:val="baseline"/>
        </w:rPr>
        <w:t>миграције</w:t>
      </w:r>
      <w:r>
        <w:rPr>
          <w:spacing w:val="-14"/>
          <w:vertAlign w:val="baseline"/>
        </w:rPr>
        <w:t> </w:t>
      </w:r>
      <w:r>
        <w:rPr>
          <w:vertAlign w:val="baseline"/>
        </w:rPr>
        <w:t>и</w:t>
      </w:r>
      <w:r>
        <w:rPr>
          <w:spacing w:val="-12"/>
          <w:vertAlign w:val="baseline"/>
        </w:rPr>
        <w:t> </w:t>
      </w:r>
      <w:r>
        <w:rPr>
          <w:vertAlign w:val="baseline"/>
        </w:rPr>
        <w:t>особама</w:t>
      </w:r>
      <w:r>
        <w:rPr>
          <w:spacing w:val="-14"/>
          <w:vertAlign w:val="baseline"/>
        </w:rPr>
        <w:t> </w:t>
      </w:r>
      <w:r>
        <w:rPr>
          <w:vertAlign w:val="baseline"/>
        </w:rPr>
        <w:t>без посебно пожељних квалификација у Немачку, која је главна западноевропска дестинација за мигранте из Србије, као и све већа тражња за привременом радном снагом у новим чланицама ЕУ, попут Словачке, Словеније, Чешке, Хрватске и Пољске.</w:t>
      </w:r>
    </w:p>
    <w:p>
      <w:pPr>
        <w:pStyle w:val="BodyText"/>
        <w:spacing w:before="60"/>
        <w:ind w:right="714" w:firstLine="719"/>
      </w:pPr>
      <w:r>
        <w:rPr/>
        <w:t>Србија ће се у будућности</w:t>
      </w:r>
      <w:r>
        <w:rPr>
          <w:vertAlign w:val="superscript"/>
        </w:rPr>
        <w:t>11</w:t>
      </w:r>
      <w:r>
        <w:rPr>
          <w:vertAlign w:val="baseline"/>
        </w:rPr>
        <w:t> сусрести са повећањем обима старијег, углавном економски</w:t>
      </w:r>
      <w:r>
        <w:rPr>
          <w:spacing w:val="-10"/>
          <w:vertAlign w:val="baseline"/>
        </w:rPr>
        <w:t> </w:t>
      </w:r>
      <w:r>
        <w:rPr>
          <w:vertAlign w:val="baseline"/>
        </w:rPr>
        <w:t>неактивног</w:t>
      </w:r>
      <w:r>
        <w:rPr>
          <w:spacing w:val="-11"/>
          <w:vertAlign w:val="baseline"/>
        </w:rPr>
        <w:t> </w:t>
      </w:r>
      <w:r>
        <w:rPr>
          <w:vertAlign w:val="baseline"/>
        </w:rPr>
        <w:t>становништва,</w:t>
      </w:r>
      <w:r>
        <w:rPr>
          <w:spacing w:val="-11"/>
          <w:vertAlign w:val="baseline"/>
        </w:rPr>
        <w:t> </w:t>
      </w:r>
      <w:r>
        <w:rPr>
          <w:vertAlign w:val="baseline"/>
        </w:rPr>
        <w:t>што</w:t>
      </w:r>
      <w:r>
        <w:rPr>
          <w:spacing w:val="-10"/>
          <w:vertAlign w:val="baseline"/>
        </w:rPr>
        <w:t> </w:t>
      </w:r>
      <w:r>
        <w:rPr>
          <w:vertAlign w:val="baseline"/>
        </w:rPr>
        <w:t>ће</w:t>
      </w:r>
      <w:r>
        <w:rPr>
          <w:spacing w:val="-14"/>
          <w:vertAlign w:val="baseline"/>
        </w:rPr>
        <w:t> </w:t>
      </w:r>
      <w:r>
        <w:rPr>
          <w:vertAlign w:val="baseline"/>
        </w:rPr>
        <w:t>неминовно</w:t>
      </w:r>
      <w:r>
        <w:rPr>
          <w:spacing w:val="-10"/>
          <w:vertAlign w:val="baseline"/>
        </w:rPr>
        <w:t> </w:t>
      </w:r>
      <w:r>
        <w:rPr>
          <w:vertAlign w:val="baseline"/>
        </w:rPr>
        <w:t>довести</w:t>
      </w:r>
      <w:r>
        <w:rPr>
          <w:spacing w:val="-10"/>
          <w:vertAlign w:val="baseline"/>
        </w:rPr>
        <w:t> </w:t>
      </w:r>
      <w:r>
        <w:rPr>
          <w:vertAlign w:val="baseline"/>
        </w:rPr>
        <w:t>до</w:t>
      </w:r>
      <w:r>
        <w:rPr>
          <w:spacing w:val="-13"/>
          <w:vertAlign w:val="baseline"/>
        </w:rPr>
        <w:t> </w:t>
      </w:r>
      <w:r>
        <w:rPr>
          <w:vertAlign w:val="baseline"/>
        </w:rPr>
        <w:t>повећања</w:t>
      </w:r>
      <w:r>
        <w:rPr>
          <w:spacing w:val="-12"/>
          <w:vertAlign w:val="baseline"/>
        </w:rPr>
        <w:t> </w:t>
      </w:r>
      <w:r>
        <w:rPr>
          <w:vertAlign w:val="baseline"/>
        </w:rPr>
        <w:t>личне</w:t>
      </w:r>
      <w:r>
        <w:rPr>
          <w:spacing w:val="-12"/>
          <w:vertAlign w:val="baseline"/>
        </w:rPr>
        <w:t> </w:t>
      </w:r>
      <w:r>
        <w:rPr>
          <w:vertAlign w:val="baseline"/>
        </w:rPr>
        <w:t>и</w:t>
      </w:r>
      <w:r>
        <w:rPr>
          <w:spacing w:val="-10"/>
          <w:vertAlign w:val="baseline"/>
        </w:rPr>
        <w:t> </w:t>
      </w:r>
      <w:r>
        <w:rPr>
          <w:vertAlign w:val="baseline"/>
        </w:rPr>
        <w:t>јавне потрошње, пре свега у домену издвајања средстава за здравствену и социјалну заштиту и пензијско осигурање. У том контексту се познавање одредница и разумевање последица старења становништва у Србији намеће као битан критеријум при креирању политике економског и социјалног развоја.</w:t>
      </w:r>
    </w:p>
    <w:p>
      <w:pPr>
        <w:pStyle w:val="BodyText"/>
        <w:spacing w:before="243"/>
        <w:ind w:left="0"/>
        <w:jc w:val="left"/>
      </w:pPr>
    </w:p>
    <w:p>
      <w:pPr>
        <w:pStyle w:val="ListParagraph"/>
        <w:numPr>
          <w:ilvl w:val="2"/>
          <w:numId w:val="1"/>
        </w:numPr>
        <w:tabs>
          <w:tab w:pos="1154" w:val="left" w:leader="none"/>
        </w:tabs>
        <w:spacing w:line="240" w:lineRule="auto" w:before="0" w:after="0"/>
        <w:ind w:left="1154" w:right="0" w:hanging="794"/>
        <w:jc w:val="left"/>
        <w:rPr>
          <w:sz w:val="24"/>
        </w:rPr>
      </w:pPr>
      <w:r>
        <w:rPr>
          <w:sz w:val="24"/>
        </w:rPr>
        <w:t>Трендови</w:t>
      </w:r>
      <w:r>
        <w:rPr>
          <w:spacing w:val="-3"/>
          <w:sz w:val="24"/>
        </w:rPr>
        <w:t> </w:t>
      </w:r>
      <w:r>
        <w:rPr>
          <w:sz w:val="24"/>
        </w:rPr>
        <w:t>на</w:t>
      </w:r>
      <w:r>
        <w:rPr>
          <w:spacing w:val="-2"/>
          <w:sz w:val="24"/>
        </w:rPr>
        <w:t> </w:t>
      </w:r>
      <w:r>
        <w:rPr>
          <w:sz w:val="24"/>
        </w:rPr>
        <w:t>тржишту</w:t>
      </w:r>
      <w:r>
        <w:rPr>
          <w:spacing w:val="-8"/>
          <w:sz w:val="24"/>
        </w:rPr>
        <w:t> </w:t>
      </w:r>
      <w:r>
        <w:rPr>
          <w:spacing w:val="-4"/>
          <w:sz w:val="24"/>
        </w:rPr>
        <w:t>рада</w:t>
      </w:r>
    </w:p>
    <w:p>
      <w:pPr>
        <w:spacing w:before="140"/>
        <w:ind w:left="360" w:right="0" w:firstLine="0"/>
        <w:jc w:val="both"/>
        <w:rPr>
          <w:i/>
          <w:sz w:val="24"/>
        </w:rPr>
      </w:pPr>
      <w:r>
        <w:rPr>
          <w:i/>
          <w:sz w:val="24"/>
        </w:rPr>
        <w:t>Кључни</w:t>
      </w:r>
      <w:r>
        <w:rPr>
          <w:i/>
          <w:spacing w:val="-2"/>
          <w:sz w:val="24"/>
        </w:rPr>
        <w:t> </w:t>
      </w:r>
      <w:r>
        <w:rPr>
          <w:i/>
          <w:sz w:val="24"/>
        </w:rPr>
        <w:t>показатељи</w:t>
      </w:r>
      <w:r>
        <w:rPr>
          <w:i/>
          <w:spacing w:val="-2"/>
          <w:sz w:val="24"/>
        </w:rPr>
        <w:t> </w:t>
      </w:r>
      <w:r>
        <w:rPr>
          <w:i/>
          <w:sz w:val="24"/>
        </w:rPr>
        <w:t>тржишта</w:t>
      </w:r>
      <w:r>
        <w:rPr>
          <w:i/>
          <w:spacing w:val="-1"/>
          <w:sz w:val="24"/>
        </w:rPr>
        <w:t> </w:t>
      </w:r>
      <w:r>
        <w:rPr>
          <w:i/>
          <w:spacing w:val="-4"/>
          <w:sz w:val="24"/>
        </w:rPr>
        <w:t>рада</w:t>
      </w:r>
    </w:p>
    <w:p>
      <w:pPr>
        <w:pStyle w:val="BodyText"/>
        <w:spacing w:before="120"/>
        <w:ind w:right="713" w:firstLine="712"/>
      </w:pPr>
      <w:r>
        <w:rPr/>
        <w:t>Показатељи националног тржишта рада последњих година бележе позитивне помаке,</w:t>
      </w:r>
      <w:r>
        <w:rPr>
          <w:spacing w:val="-15"/>
        </w:rPr>
        <w:t> </w:t>
      </w:r>
      <w:r>
        <w:rPr/>
        <w:t>што</w:t>
      </w:r>
      <w:r>
        <w:rPr>
          <w:spacing w:val="-15"/>
        </w:rPr>
        <w:t> </w:t>
      </w:r>
      <w:r>
        <w:rPr/>
        <w:t>је</w:t>
      </w:r>
      <w:r>
        <w:rPr>
          <w:spacing w:val="-15"/>
        </w:rPr>
        <w:t> </w:t>
      </w:r>
      <w:r>
        <w:rPr/>
        <w:t>конзистентно</w:t>
      </w:r>
      <w:r>
        <w:rPr>
          <w:spacing w:val="-15"/>
        </w:rPr>
        <w:t> </w:t>
      </w:r>
      <w:r>
        <w:rPr/>
        <w:t>и</w:t>
      </w:r>
      <w:r>
        <w:rPr>
          <w:spacing w:val="-15"/>
        </w:rPr>
        <w:t> </w:t>
      </w:r>
      <w:r>
        <w:rPr/>
        <w:t>са</w:t>
      </w:r>
      <w:r>
        <w:rPr>
          <w:spacing w:val="-15"/>
        </w:rPr>
        <w:t> </w:t>
      </w:r>
      <w:r>
        <w:rPr/>
        <w:t>позитивним</w:t>
      </w:r>
      <w:r>
        <w:rPr>
          <w:spacing w:val="-15"/>
        </w:rPr>
        <w:t> </w:t>
      </w:r>
      <w:r>
        <w:rPr/>
        <w:t>трендом</w:t>
      </w:r>
      <w:r>
        <w:rPr>
          <w:spacing w:val="-15"/>
        </w:rPr>
        <w:t> </w:t>
      </w:r>
      <w:r>
        <w:rPr/>
        <w:t>макроекономских</w:t>
      </w:r>
      <w:r>
        <w:rPr>
          <w:spacing w:val="-15"/>
        </w:rPr>
        <w:t> </w:t>
      </w:r>
      <w:r>
        <w:rPr/>
        <w:t>показатеља.</w:t>
      </w:r>
      <w:r>
        <w:rPr>
          <w:spacing w:val="-15"/>
        </w:rPr>
        <w:t> </w:t>
      </w:r>
      <w:r>
        <w:rPr/>
        <w:t>Стање на</w:t>
      </w:r>
      <w:r>
        <w:rPr>
          <w:spacing w:val="-13"/>
        </w:rPr>
        <w:t> </w:t>
      </w:r>
      <w:r>
        <w:rPr/>
        <w:t>тржишту</w:t>
      </w:r>
      <w:r>
        <w:rPr>
          <w:spacing w:val="-15"/>
        </w:rPr>
        <w:t> </w:t>
      </w:r>
      <w:r>
        <w:rPr/>
        <w:t>рада,</w:t>
      </w:r>
      <w:r>
        <w:rPr>
          <w:spacing w:val="-12"/>
        </w:rPr>
        <w:t> </w:t>
      </w:r>
      <w:r>
        <w:rPr/>
        <w:t>мерено</w:t>
      </w:r>
      <w:r>
        <w:rPr>
          <w:spacing w:val="-10"/>
        </w:rPr>
        <w:t> </w:t>
      </w:r>
      <w:r>
        <w:rPr/>
        <w:t>основним</w:t>
      </w:r>
      <w:r>
        <w:rPr>
          <w:spacing w:val="-13"/>
        </w:rPr>
        <w:t> </w:t>
      </w:r>
      <w:r>
        <w:rPr/>
        <w:t>показатељима</w:t>
      </w:r>
      <w:r>
        <w:rPr>
          <w:spacing w:val="-13"/>
        </w:rPr>
        <w:t> </w:t>
      </w:r>
      <w:r>
        <w:rPr/>
        <w:t>из</w:t>
      </w:r>
      <w:r>
        <w:rPr>
          <w:spacing w:val="-9"/>
        </w:rPr>
        <w:t> </w:t>
      </w:r>
      <w:r>
        <w:rPr/>
        <w:t>Анкете</w:t>
      </w:r>
      <w:r>
        <w:rPr>
          <w:spacing w:val="-12"/>
        </w:rPr>
        <w:t> </w:t>
      </w:r>
      <w:r>
        <w:rPr/>
        <w:t>о</w:t>
      </w:r>
      <w:r>
        <w:rPr>
          <w:spacing w:val="-12"/>
        </w:rPr>
        <w:t> </w:t>
      </w:r>
      <w:r>
        <w:rPr/>
        <w:t>радној</w:t>
      </w:r>
      <w:r>
        <w:rPr>
          <w:spacing w:val="-9"/>
        </w:rPr>
        <w:t> </w:t>
      </w:r>
      <w:r>
        <w:rPr/>
        <w:t>снази</w:t>
      </w:r>
      <w:r>
        <w:rPr>
          <w:vertAlign w:val="superscript"/>
        </w:rPr>
        <w:t>12</w:t>
      </w:r>
      <w:r>
        <w:rPr>
          <w:spacing w:val="-11"/>
          <w:vertAlign w:val="baseline"/>
        </w:rPr>
        <w:t> </w:t>
      </w:r>
      <w:r>
        <w:rPr>
          <w:vertAlign w:val="baseline"/>
        </w:rPr>
        <w:t>(АРС),</w:t>
      </w:r>
      <w:r>
        <w:rPr>
          <w:spacing w:val="-8"/>
          <w:vertAlign w:val="baseline"/>
        </w:rPr>
        <w:t> </w:t>
      </w:r>
      <w:r>
        <w:rPr>
          <w:vertAlign w:val="baseline"/>
        </w:rPr>
        <w:t>указује на значајан опоравак тржишта рада у периоду 2015-2019. године – смањена је стопа незапослености и повећана је стопа запослености; број</w:t>
      </w:r>
      <w:r>
        <w:rPr>
          <w:spacing w:val="-1"/>
          <w:vertAlign w:val="baseline"/>
        </w:rPr>
        <w:t> </w:t>
      </w:r>
      <w:r>
        <w:rPr>
          <w:vertAlign w:val="baseline"/>
        </w:rPr>
        <w:t>запослених лица је порастао што је утицало</w:t>
      </w:r>
      <w:r>
        <w:rPr>
          <w:spacing w:val="-15"/>
          <w:vertAlign w:val="baseline"/>
        </w:rPr>
        <w:t> </w:t>
      </w:r>
      <w:r>
        <w:rPr>
          <w:vertAlign w:val="baseline"/>
        </w:rPr>
        <w:t>и</w:t>
      </w:r>
      <w:r>
        <w:rPr>
          <w:spacing w:val="-12"/>
          <w:vertAlign w:val="baseline"/>
        </w:rPr>
        <w:t> </w:t>
      </w:r>
      <w:r>
        <w:rPr>
          <w:vertAlign w:val="baseline"/>
        </w:rPr>
        <w:t>на</w:t>
      </w:r>
      <w:r>
        <w:rPr>
          <w:spacing w:val="-13"/>
          <w:vertAlign w:val="baseline"/>
        </w:rPr>
        <w:t> </w:t>
      </w:r>
      <w:r>
        <w:rPr>
          <w:vertAlign w:val="baseline"/>
        </w:rPr>
        <w:t>повећање</w:t>
      </w:r>
      <w:r>
        <w:rPr>
          <w:spacing w:val="-12"/>
          <w:vertAlign w:val="baseline"/>
        </w:rPr>
        <w:t> </w:t>
      </w:r>
      <w:r>
        <w:rPr>
          <w:vertAlign w:val="baseline"/>
        </w:rPr>
        <w:t>броја</w:t>
      </w:r>
      <w:r>
        <w:rPr>
          <w:spacing w:val="-13"/>
          <w:vertAlign w:val="baseline"/>
        </w:rPr>
        <w:t> </w:t>
      </w:r>
      <w:r>
        <w:rPr>
          <w:vertAlign w:val="baseline"/>
        </w:rPr>
        <w:t>лица</w:t>
      </w:r>
      <w:r>
        <w:rPr>
          <w:spacing w:val="-13"/>
          <w:vertAlign w:val="baseline"/>
        </w:rPr>
        <w:t> </w:t>
      </w:r>
      <w:r>
        <w:rPr>
          <w:vertAlign w:val="baseline"/>
        </w:rPr>
        <w:t>која</w:t>
      </w:r>
      <w:r>
        <w:rPr>
          <w:spacing w:val="-13"/>
          <w:vertAlign w:val="baseline"/>
        </w:rPr>
        <w:t> </w:t>
      </w:r>
      <w:r>
        <w:rPr>
          <w:vertAlign w:val="baseline"/>
        </w:rPr>
        <w:t>се</w:t>
      </w:r>
      <w:r>
        <w:rPr>
          <w:spacing w:val="-13"/>
          <w:vertAlign w:val="baseline"/>
        </w:rPr>
        <w:t> </w:t>
      </w:r>
      <w:r>
        <w:rPr>
          <w:vertAlign w:val="baseline"/>
        </w:rPr>
        <w:t>ангажују</w:t>
      </w:r>
      <w:r>
        <w:rPr>
          <w:spacing w:val="-15"/>
          <w:vertAlign w:val="baseline"/>
        </w:rPr>
        <w:t> </w:t>
      </w:r>
      <w:r>
        <w:rPr>
          <w:vertAlign w:val="baseline"/>
        </w:rPr>
        <w:t>на</w:t>
      </w:r>
      <w:r>
        <w:rPr>
          <w:spacing w:val="-13"/>
          <w:vertAlign w:val="baseline"/>
        </w:rPr>
        <w:t> </w:t>
      </w:r>
      <w:r>
        <w:rPr>
          <w:vertAlign w:val="baseline"/>
        </w:rPr>
        <w:t>тржишту</w:t>
      </w:r>
      <w:r>
        <w:rPr>
          <w:spacing w:val="-15"/>
          <w:vertAlign w:val="baseline"/>
        </w:rPr>
        <w:t> </w:t>
      </w:r>
      <w:r>
        <w:rPr>
          <w:vertAlign w:val="baseline"/>
        </w:rPr>
        <w:t>рада</w:t>
      </w:r>
      <w:r>
        <w:rPr>
          <w:spacing w:val="-13"/>
          <w:vertAlign w:val="baseline"/>
        </w:rPr>
        <w:t> </w:t>
      </w:r>
      <w:r>
        <w:rPr>
          <w:vertAlign w:val="baseline"/>
        </w:rPr>
        <w:t>(активних</w:t>
      </w:r>
      <w:r>
        <w:rPr>
          <w:spacing w:val="-11"/>
          <w:vertAlign w:val="baseline"/>
        </w:rPr>
        <w:t> </w:t>
      </w:r>
      <w:r>
        <w:rPr>
          <w:vertAlign w:val="baseline"/>
        </w:rPr>
        <w:t>лица);</w:t>
      </w:r>
      <w:r>
        <w:rPr>
          <w:spacing w:val="-8"/>
          <w:vertAlign w:val="baseline"/>
        </w:rPr>
        <w:t> </w:t>
      </w:r>
      <w:r>
        <w:rPr>
          <w:vertAlign w:val="baseline"/>
        </w:rPr>
        <w:t>дошло је до смањења броја незапослених и неактивних лица.</w:t>
      </w:r>
    </w:p>
    <w:p>
      <w:pPr>
        <w:pStyle w:val="BodyText"/>
        <w:spacing w:before="120"/>
        <w:ind w:right="713" w:firstLine="712"/>
      </w:pPr>
      <w:r>
        <w:rPr/>
        <w:t>Укупан</w:t>
      </w:r>
      <w:r>
        <w:rPr>
          <w:spacing w:val="-3"/>
        </w:rPr>
        <w:t> </w:t>
      </w:r>
      <w:r>
        <w:rPr/>
        <w:t>број</w:t>
      </w:r>
      <w:r>
        <w:rPr>
          <w:spacing w:val="-3"/>
        </w:rPr>
        <w:t> </w:t>
      </w:r>
      <w:r>
        <w:rPr/>
        <w:t>становништва</w:t>
      </w:r>
      <w:r>
        <w:rPr>
          <w:spacing w:val="-4"/>
        </w:rPr>
        <w:t> </w:t>
      </w:r>
      <w:r>
        <w:rPr/>
        <w:t>радног</w:t>
      </w:r>
      <w:r>
        <w:rPr>
          <w:spacing w:val="-1"/>
        </w:rPr>
        <w:t> </w:t>
      </w:r>
      <w:r>
        <w:rPr/>
        <w:t>узраста</w:t>
      </w:r>
      <w:r>
        <w:rPr>
          <w:spacing w:val="-3"/>
        </w:rPr>
        <w:t> </w:t>
      </w:r>
      <w:r>
        <w:rPr/>
        <w:t>(15-64)</w:t>
      </w:r>
      <w:r>
        <w:rPr>
          <w:spacing w:val="-4"/>
        </w:rPr>
        <w:t> </w:t>
      </w:r>
      <w:r>
        <w:rPr/>
        <w:t>смањен</w:t>
      </w:r>
      <w:r>
        <w:rPr>
          <w:spacing w:val="-3"/>
        </w:rPr>
        <w:t> </w:t>
      </w:r>
      <w:r>
        <w:rPr/>
        <w:t>је</w:t>
      </w:r>
      <w:r>
        <w:rPr>
          <w:spacing w:val="-3"/>
        </w:rPr>
        <w:t> </w:t>
      </w:r>
      <w:r>
        <w:rPr/>
        <w:t>за</w:t>
      </w:r>
      <w:r>
        <w:rPr>
          <w:spacing w:val="-3"/>
        </w:rPr>
        <w:t> </w:t>
      </w:r>
      <w:r>
        <w:rPr/>
        <w:t>249</w:t>
      </w:r>
      <w:r>
        <w:rPr>
          <w:spacing w:val="-3"/>
        </w:rPr>
        <w:t> </w:t>
      </w:r>
      <w:r>
        <w:rPr/>
        <w:t>хиљада</w:t>
      </w:r>
      <w:r>
        <w:rPr>
          <w:spacing w:val="-1"/>
        </w:rPr>
        <w:t> </w:t>
      </w:r>
      <w:r>
        <w:rPr/>
        <w:t>у</w:t>
      </w:r>
      <w:r>
        <w:rPr>
          <w:spacing w:val="-8"/>
        </w:rPr>
        <w:t> </w:t>
      </w:r>
      <w:r>
        <w:rPr/>
        <w:t>2019. у односу</w:t>
      </w:r>
      <w:r>
        <w:rPr>
          <w:spacing w:val="-6"/>
        </w:rPr>
        <w:t> </w:t>
      </w:r>
      <w:r>
        <w:rPr/>
        <w:t>на</w:t>
      </w:r>
      <w:r>
        <w:rPr>
          <w:spacing w:val="-2"/>
        </w:rPr>
        <w:t> </w:t>
      </w:r>
      <w:r>
        <w:rPr/>
        <w:t>2015.</w:t>
      </w:r>
      <w:r>
        <w:rPr>
          <w:spacing w:val="-1"/>
        </w:rPr>
        <w:t> </w:t>
      </w:r>
      <w:r>
        <w:rPr/>
        <w:t>годину. При</w:t>
      </w:r>
      <w:r>
        <w:rPr>
          <w:spacing w:val="-1"/>
        </w:rPr>
        <w:t> </w:t>
      </w:r>
      <w:r>
        <w:rPr/>
        <w:t>томе,</w:t>
      </w:r>
      <w:r>
        <w:rPr>
          <w:spacing w:val="-1"/>
        </w:rPr>
        <w:t> </w:t>
      </w:r>
      <w:r>
        <w:rPr/>
        <w:t>повећан</w:t>
      </w:r>
      <w:r>
        <w:rPr>
          <w:spacing w:val="-1"/>
        </w:rPr>
        <w:t> </w:t>
      </w:r>
      <w:r>
        <w:rPr/>
        <w:t>је</w:t>
      </w:r>
      <w:r>
        <w:rPr>
          <w:spacing w:val="-1"/>
        </w:rPr>
        <w:t> </w:t>
      </w:r>
      <w:r>
        <w:rPr/>
        <w:t>број</w:t>
      </w:r>
      <w:r>
        <w:rPr>
          <w:spacing w:val="-1"/>
        </w:rPr>
        <w:t> </w:t>
      </w:r>
      <w:r>
        <w:rPr/>
        <w:t>лица</w:t>
      </w:r>
      <w:r>
        <w:rPr>
          <w:spacing w:val="-5"/>
        </w:rPr>
        <w:t> </w:t>
      </w:r>
      <w:r>
        <w:rPr/>
        <w:t>која</w:t>
      </w:r>
      <w:r>
        <w:rPr>
          <w:spacing w:val="-1"/>
        </w:rPr>
        <w:t> </w:t>
      </w:r>
      <w:r>
        <w:rPr/>
        <w:t>су</w:t>
      </w:r>
      <w:r>
        <w:rPr>
          <w:spacing w:val="-6"/>
        </w:rPr>
        <w:t> </w:t>
      </w:r>
      <w:r>
        <w:rPr/>
        <w:t>активна</w:t>
      </w:r>
      <w:r>
        <w:rPr>
          <w:spacing w:val="-2"/>
        </w:rPr>
        <w:t> </w:t>
      </w:r>
      <w:r>
        <w:rPr/>
        <w:t>на</w:t>
      </w:r>
      <w:r>
        <w:rPr>
          <w:spacing w:val="-2"/>
        </w:rPr>
        <w:t> </w:t>
      </w:r>
      <w:r>
        <w:rPr/>
        <w:t>тржишту</w:t>
      </w:r>
      <w:r>
        <w:rPr>
          <w:spacing w:val="-9"/>
        </w:rPr>
        <w:t> </w:t>
      </w:r>
      <w:r>
        <w:rPr/>
        <w:t>рада</w:t>
      </w:r>
      <w:r>
        <w:rPr>
          <w:spacing w:val="-2"/>
        </w:rPr>
        <w:t> </w:t>
      </w:r>
      <w:r>
        <w:rPr/>
        <w:t>за 46 хиљада</w:t>
      </w:r>
      <w:r>
        <w:rPr>
          <w:vertAlign w:val="superscript"/>
        </w:rPr>
        <w:t>13</w:t>
      </w:r>
      <w:r>
        <w:rPr>
          <w:vertAlign w:val="baseline"/>
        </w:rPr>
        <w:t>, док је број неактивних смањен за око 295 хиљада. Број запослених бележи повећање од 262 хиљаде, док је број незапослених смањен за 216 хиљада.</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1"/>
        <w:ind w:left="0"/>
        <w:jc w:val="left"/>
        <w:rPr>
          <w:sz w:val="20"/>
        </w:rPr>
      </w:pPr>
      <w:r>
        <w:rPr>
          <w:sz w:val="20"/>
        </w:rPr>
        <mc:AlternateContent>
          <mc:Choice Requires="wps">
            <w:drawing>
              <wp:anchor distT="0" distB="0" distL="0" distR="0" allowOverlap="1" layoutInCell="1" locked="0" behindDoc="1" simplePos="0" relativeHeight="487591424">
                <wp:simplePos x="0" y="0"/>
                <wp:positionH relativeFrom="page">
                  <wp:posOffset>914704</wp:posOffset>
                </wp:positionH>
                <wp:positionV relativeFrom="paragraph">
                  <wp:posOffset>206868</wp:posOffset>
                </wp:positionV>
                <wp:extent cx="1829435"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288837pt;width:144.020pt;height:.72003pt;mso-position-horizontal-relative:page;mso-position-vertical-relative:paragraph;z-index:-15725056;mso-wrap-distance-left:0;mso-wrap-distance-right:0" id="docshape11" filled="true" fillcolor="#000000" stroked="false">
                <v:fill type="solid"/>
                <w10:wrap type="topAndBottom"/>
              </v:rect>
            </w:pict>
          </mc:Fallback>
        </mc:AlternateContent>
      </w:r>
    </w:p>
    <w:p>
      <w:pPr>
        <w:spacing w:before="94"/>
        <w:ind w:left="360" w:right="717" w:firstLine="0"/>
        <w:jc w:val="both"/>
        <w:rPr>
          <w:sz w:val="18"/>
        </w:rPr>
      </w:pPr>
      <w:r>
        <w:rPr>
          <w:position w:val="6"/>
          <w:sz w:val="12"/>
        </w:rPr>
        <w:t>10</w:t>
      </w:r>
      <w:r>
        <w:rPr>
          <w:spacing w:val="5"/>
          <w:position w:val="6"/>
          <w:sz w:val="12"/>
        </w:rPr>
        <w:t> </w:t>
      </w:r>
      <w:r>
        <w:rPr>
          <w:sz w:val="18"/>
        </w:rPr>
        <w:t>Највећи</w:t>
      </w:r>
      <w:r>
        <w:rPr>
          <w:spacing w:val="-10"/>
          <w:sz w:val="18"/>
        </w:rPr>
        <w:t> </w:t>
      </w:r>
      <w:r>
        <w:rPr>
          <w:sz w:val="18"/>
        </w:rPr>
        <w:t>број</w:t>
      </w:r>
      <w:r>
        <w:rPr>
          <w:spacing w:val="-10"/>
          <w:sz w:val="18"/>
        </w:rPr>
        <w:t> </w:t>
      </w:r>
      <w:r>
        <w:rPr>
          <w:sz w:val="18"/>
        </w:rPr>
        <w:t>потенцијалних</w:t>
      </w:r>
      <w:r>
        <w:rPr>
          <w:spacing w:val="-11"/>
          <w:sz w:val="18"/>
        </w:rPr>
        <w:t> </w:t>
      </w:r>
      <w:r>
        <w:rPr>
          <w:sz w:val="18"/>
        </w:rPr>
        <w:t>миграната</w:t>
      </w:r>
      <w:r>
        <w:rPr>
          <w:spacing w:val="-10"/>
          <w:sz w:val="18"/>
        </w:rPr>
        <w:t> </w:t>
      </w:r>
      <w:r>
        <w:rPr>
          <w:sz w:val="18"/>
        </w:rPr>
        <w:t>налази</w:t>
      </w:r>
      <w:r>
        <w:rPr>
          <w:spacing w:val="-10"/>
          <w:sz w:val="18"/>
        </w:rPr>
        <w:t> </w:t>
      </w:r>
      <w:r>
        <w:rPr>
          <w:sz w:val="18"/>
        </w:rPr>
        <w:t>се</w:t>
      </w:r>
      <w:r>
        <w:rPr>
          <w:spacing w:val="-8"/>
          <w:sz w:val="18"/>
        </w:rPr>
        <w:t> </w:t>
      </w:r>
      <w:r>
        <w:rPr>
          <w:sz w:val="18"/>
        </w:rPr>
        <w:t>међу</w:t>
      </w:r>
      <w:r>
        <w:rPr>
          <w:spacing w:val="-11"/>
          <w:sz w:val="18"/>
        </w:rPr>
        <w:t> </w:t>
      </w:r>
      <w:r>
        <w:rPr>
          <w:sz w:val="18"/>
        </w:rPr>
        <w:t>млађом</w:t>
      </w:r>
      <w:r>
        <w:rPr>
          <w:spacing w:val="-9"/>
          <w:sz w:val="18"/>
        </w:rPr>
        <w:t> </w:t>
      </w:r>
      <w:r>
        <w:rPr>
          <w:sz w:val="18"/>
        </w:rPr>
        <w:t>популацијом</w:t>
      </w:r>
      <w:r>
        <w:rPr>
          <w:spacing w:val="-11"/>
          <w:sz w:val="18"/>
        </w:rPr>
        <w:t> </w:t>
      </w:r>
      <w:r>
        <w:rPr>
          <w:sz w:val="18"/>
        </w:rPr>
        <w:t>старости</w:t>
      </w:r>
      <w:r>
        <w:rPr>
          <w:spacing w:val="-10"/>
          <w:sz w:val="18"/>
        </w:rPr>
        <w:t> </w:t>
      </w:r>
      <w:r>
        <w:rPr>
          <w:sz w:val="18"/>
        </w:rPr>
        <w:t>до</w:t>
      </w:r>
      <w:r>
        <w:rPr>
          <w:spacing w:val="-10"/>
          <w:sz w:val="18"/>
        </w:rPr>
        <w:t> </w:t>
      </w:r>
      <w:r>
        <w:rPr>
          <w:sz w:val="18"/>
        </w:rPr>
        <w:t>40</w:t>
      </w:r>
      <w:r>
        <w:rPr>
          <w:spacing w:val="-9"/>
          <w:sz w:val="18"/>
        </w:rPr>
        <w:t> </w:t>
      </w:r>
      <w:r>
        <w:rPr>
          <w:sz w:val="18"/>
        </w:rPr>
        <w:t>година.</w:t>
      </w:r>
      <w:r>
        <w:rPr>
          <w:spacing w:val="-10"/>
          <w:sz w:val="18"/>
        </w:rPr>
        <w:t> </w:t>
      </w:r>
      <w:r>
        <w:rPr>
          <w:sz w:val="18"/>
        </w:rPr>
        <w:t>Основни</w:t>
      </w:r>
      <w:r>
        <w:rPr>
          <w:spacing w:val="-11"/>
          <w:sz w:val="18"/>
        </w:rPr>
        <w:t> </w:t>
      </w:r>
      <w:r>
        <w:rPr>
          <w:sz w:val="18"/>
        </w:rPr>
        <w:t>мотиви</w:t>
      </w:r>
      <w:r>
        <w:rPr>
          <w:spacing w:val="-8"/>
          <w:sz w:val="18"/>
        </w:rPr>
        <w:t> </w:t>
      </w:r>
      <w:r>
        <w:rPr>
          <w:sz w:val="18"/>
        </w:rPr>
        <w:t>који их</w:t>
      </w:r>
      <w:r>
        <w:rPr>
          <w:spacing w:val="-7"/>
          <w:sz w:val="18"/>
        </w:rPr>
        <w:t> </w:t>
      </w:r>
      <w:r>
        <w:rPr>
          <w:sz w:val="18"/>
        </w:rPr>
        <w:t>наводе</w:t>
      </w:r>
      <w:r>
        <w:rPr>
          <w:spacing w:val="-7"/>
          <w:sz w:val="18"/>
        </w:rPr>
        <w:t> </w:t>
      </w:r>
      <w:r>
        <w:rPr>
          <w:sz w:val="18"/>
        </w:rPr>
        <w:t>да</w:t>
      </w:r>
      <w:r>
        <w:rPr>
          <w:spacing w:val="-7"/>
          <w:sz w:val="18"/>
        </w:rPr>
        <w:t> </w:t>
      </w:r>
      <w:r>
        <w:rPr>
          <w:sz w:val="18"/>
        </w:rPr>
        <w:t>размишљају</w:t>
      </w:r>
      <w:r>
        <w:rPr>
          <w:spacing w:val="-7"/>
          <w:sz w:val="18"/>
        </w:rPr>
        <w:t> </w:t>
      </w:r>
      <w:r>
        <w:rPr>
          <w:sz w:val="18"/>
        </w:rPr>
        <w:t>о</w:t>
      </w:r>
      <w:r>
        <w:rPr>
          <w:spacing w:val="-5"/>
          <w:sz w:val="18"/>
        </w:rPr>
        <w:t> </w:t>
      </w:r>
      <w:r>
        <w:rPr>
          <w:sz w:val="18"/>
        </w:rPr>
        <w:t>напуштању</w:t>
      </w:r>
      <w:r>
        <w:rPr>
          <w:spacing w:val="-9"/>
          <w:sz w:val="18"/>
        </w:rPr>
        <w:t> </w:t>
      </w:r>
      <w:r>
        <w:rPr>
          <w:sz w:val="18"/>
        </w:rPr>
        <w:t>Србије</w:t>
      </w:r>
      <w:r>
        <w:rPr>
          <w:spacing w:val="-6"/>
          <w:sz w:val="18"/>
        </w:rPr>
        <w:t> </w:t>
      </w:r>
      <w:r>
        <w:rPr>
          <w:sz w:val="18"/>
        </w:rPr>
        <w:t>јесу</w:t>
      </w:r>
      <w:r>
        <w:rPr>
          <w:spacing w:val="-7"/>
          <w:sz w:val="18"/>
        </w:rPr>
        <w:t> </w:t>
      </w:r>
      <w:r>
        <w:rPr>
          <w:sz w:val="18"/>
        </w:rPr>
        <w:t>незапосленост</w:t>
      </w:r>
      <w:r>
        <w:rPr>
          <w:spacing w:val="-5"/>
          <w:sz w:val="18"/>
        </w:rPr>
        <w:t> </w:t>
      </w:r>
      <w:r>
        <w:rPr>
          <w:sz w:val="18"/>
        </w:rPr>
        <w:t>(недостатак</w:t>
      </w:r>
      <w:r>
        <w:rPr>
          <w:spacing w:val="-7"/>
          <w:sz w:val="18"/>
        </w:rPr>
        <w:t> </w:t>
      </w:r>
      <w:r>
        <w:rPr>
          <w:sz w:val="18"/>
        </w:rPr>
        <w:t>посла</w:t>
      </w:r>
      <w:r>
        <w:rPr>
          <w:spacing w:val="-6"/>
          <w:sz w:val="18"/>
        </w:rPr>
        <w:t> </w:t>
      </w:r>
      <w:r>
        <w:rPr>
          <w:sz w:val="18"/>
        </w:rPr>
        <w:t>и</w:t>
      </w:r>
      <w:r>
        <w:rPr>
          <w:spacing w:val="-6"/>
          <w:sz w:val="18"/>
        </w:rPr>
        <w:t> </w:t>
      </w:r>
      <w:r>
        <w:rPr>
          <w:sz w:val="18"/>
        </w:rPr>
        <w:t>извора</w:t>
      </w:r>
      <w:r>
        <w:rPr>
          <w:spacing w:val="-4"/>
          <w:sz w:val="18"/>
        </w:rPr>
        <w:t> </w:t>
      </w:r>
      <w:r>
        <w:rPr>
          <w:sz w:val="18"/>
        </w:rPr>
        <w:t>прихода)</w:t>
      </w:r>
      <w:r>
        <w:rPr>
          <w:spacing w:val="-4"/>
          <w:sz w:val="18"/>
        </w:rPr>
        <w:t> </w:t>
      </w:r>
      <w:r>
        <w:rPr>
          <w:sz w:val="18"/>
        </w:rPr>
        <w:t>и</w:t>
      </w:r>
      <w:r>
        <w:rPr>
          <w:spacing w:val="-6"/>
          <w:sz w:val="18"/>
        </w:rPr>
        <w:t> </w:t>
      </w:r>
      <w:r>
        <w:rPr>
          <w:sz w:val="18"/>
        </w:rPr>
        <w:t>лоши</w:t>
      </w:r>
      <w:r>
        <w:rPr>
          <w:spacing w:val="-6"/>
          <w:sz w:val="18"/>
        </w:rPr>
        <w:t> </w:t>
      </w:r>
      <w:r>
        <w:rPr>
          <w:sz w:val="18"/>
        </w:rPr>
        <w:t>економски услови живота</w:t>
      </w:r>
    </w:p>
    <w:p>
      <w:pPr>
        <w:spacing w:line="240" w:lineRule="auto" w:before="0"/>
        <w:ind w:left="360" w:right="716" w:firstLine="0"/>
        <w:jc w:val="both"/>
        <w:rPr>
          <w:sz w:val="18"/>
        </w:rPr>
      </w:pPr>
      <w:r>
        <w:rPr>
          <w:position w:val="6"/>
          <w:sz w:val="12"/>
        </w:rPr>
        <w:t>11</w:t>
      </w:r>
      <w:r>
        <w:rPr>
          <w:spacing w:val="11"/>
          <w:position w:val="6"/>
          <w:sz w:val="12"/>
        </w:rPr>
        <w:t> </w:t>
      </w:r>
      <w:r>
        <w:rPr>
          <w:sz w:val="18"/>
        </w:rPr>
        <w:t>Резултати</w:t>
      </w:r>
      <w:r>
        <w:rPr>
          <w:spacing w:val="-4"/>
          <w:sz w:val="18"/>
        </w:rPr>
        <w:t> </w:t>
      </w:r>
      <w:r>
        <w:rPr>
          <w:sz w:val="18"/>
        </w:rPr>
        <w:t>пројекције</w:t>
      </w:r>
      <w:r>
        <w:rPr>
          <w:spacing w:val="-5"/>
          <w:sz w:val="18"/>
        </w:rPr>
        <w:t> </w:t>
      </w:r>
      <w:r>
        <w:rPr>
          <w:sz w:val="18"/>
        </w:rPr>
        <w:t>становништва</w:t>
      </w:r>
      <w:r>
        <w:rPr>
          <w:spacing w:val="-5"/>
          <w:sz w:val="18"/>
        </w:rPr>
        <w:t> </w:t>
      </w:r>
      <w:r>
        <w:rPr>
          <w:sz w:val="18"/>
        </w:rPr>
        <w:t>Србије</w:t>
      </w:r>
      <w:r>
        <w:rPr>
          <w:spacing w:val="-5"/>
          <w:sz w:val="18"/>
        </w:rPr>
        <w:t> </w:t>
      </w:r>
      <w:r>
        <w:rPr>
          <w:sz w:val="18"/>
        </w:rPr>
        <w:t>до</w:t>
      </w:r>
      <w:r>
        <w:rPr>
          <w:spacing w:val="-4"/>
          <w:sz w:val="18"/>
        </w:rPr>
        <w:t> </w:t>
      </w:r>
      <w:r>
        <w:rPr>
          <w:sz w:val="18"/>
        </w:rPr>
        <w:t>2041.</w:t>
      </w:r>
      <w:r>
        <w:rPr>
          <w:spacing w:val="-4"/>
          <w:sz w:val="18"/>
        </w:rPr>
        <w:t> </w:t>
      </w:r>
      <w:r>
        <w:rPr>
          <w:sz w:val="18"/>
        </w:rPr>
        <w:t>године,</w:t>
      </w:r>
      <w:r>
        <w:rPr>
          <w:spacing w:val="-4"/>
          <w:sz w:val="18"/>
        </w:rPr>
        <w:t> </w:t>
      </w:r>
      <w:r>
        <w:rPr>
          <w:sz w:val="18"/>
        </w:rPr>
        <w:t>коју</w:t>
      </w:r>
      <w:r>
        <w:rPr>
          <w:spacing w:val="-8"/>
          <w:sz w:val="18"/>
        </w:rPr>
        <w:t> </w:t>
      </w:r>
      <w:r>
        <w:rPr>
          <w:sz w:val="18"/>
        </w:rPr>
        <w:t>је</w:t>
      </w:r>
      <w:r>
        <w:rPr>
          <w:spacing w:val="-5"/>
          <w:sz w:val="18"/>
        </w:rPr>
        <w:t> </w:t>
      </w:r>
      <w:r>
        <w:rPr>
          <w:sz w:val="18"/>
        </w:rPr>
        <w:t>израдио</w:t>
      </w:r>
      <w:r>
        <w:rPr>
          <w:spacing w:val="-3"/>
          <w:sz w:val="18"/>
        </w:rPr>
        <w:t> </w:t>
      </w:r>
      <w:r>
        <w:rPr>
          <w:sz w:val="18"/>
        </w:rPr>
        <w:t>РЗС,</w:t>
      </w:r>
      <w:r>
        <w:rPr>
          <w:spacing w:val="-4"/>
          <w:sz w:val="18"/>
        </w:rPr>
        <w:t> </w:t>
      </w:r>
      <w:r>
        <w:rPr>
          <w:sz w:val="18"/>
        </w:rPr>
        <w:t>указују</w:t>
      </w:r>
      <w:r>
        <w:rPr>
          <w:spacing w:val="-6"/>
          <w:sz w:val="18"/>
        </w:rPr>
        <w:t> </w:t>
      </w:r>
      <w:r>
        <w:rPr>
          <w:sz w:val="18"/>
        </w:rPr>
        <w:t>да</w:t>
      </w:r>
      <w:r>
        <w:rPr>
          <w:spacing w:val="-5"/>
          <w:sz w:val="18"/>
        </w:rPr>
        <w:t> </w:t>
      </w:r>
      <w:r>
        <w:rPr>
          <w:sz w:val="18"/>
        </w:rPr>
        <w:t>ће</w:t>
      </w:r>
      <w:r>
        <w:rPr>
          <w:spacing w:val="-3"/>
          <w:sz w:val="18"/>
        </w:rPr>
        <w:t> </w:t>
      </w:r>
      <w:r>
        <w:rPr>
          <w:sz w:val="18"/>
        </w:rPr>
        <w:t>у</w:t>
      </w:r>
      <w:r>
        <w:rPr>
          <w:spacing w:val="-8"/>
          <w:sz w:val="18"/>
        </w:rPr>
        <w:t> </w:t>
      </w:r>
      <w:r>
        <w:rPr>
          <w:sz w:val="18"/>
        </w:rPr>
        <w:t>и</w:t>
      </w:r>
      <w:r>
        <w:rPr>
          <w:spacing w:val="-5"/>
          <w:sz w:val="18"/>
        </w:rPr>
        <w:t> </w:t>
      </w:r>
      <w:r>
        <w:rPr>
          <w:sz w:val="18"/>
        </w:rPr>
        <w:t>наредним</w:t>
      </w:r>
      <w:r>
        <w:rPr>
          <w:spacing w:val="-5"/>
          <w:sz w:val="18"/>
        </w:rPr>
        <w:t> </w:t>
      </w:r>
      <w:r>
        <w:rPr>
          <w:sz w:val="18"/>
        </w:rPr>
        <w:t>деценијама становништво</w:t>
      </w:r>
      <w:r>
        <w:rPr>
          <w:spacing w:val="-8"/>
          <w:sz w:val="18"/>
        </w:rPr>
        <w:t> </w:t>
      </w:r>
      <w:r>
        <w:rPr>
          <w:sz w:val="18"/>
        </w:rPr>
        <w:t>бити</w:t>
      </w:r>
      <w:r>
        <w:rPr>
          <w:spacing w:val="-8"/>
          <w:sz w:val="18"/>
        </w:rPr>
        <w:t> </w:t>
      </w:r>
      <w:r>
        <w:rPr>
          <w:sz w:val="18"/>
        </w:rPr>
        <w:t>изложено</w:t>
      </w:r>
      <w:r>
        <w:rPr>
          <w:spacing w:val="-9"/>
          <w:sz w:val="18"/>
        </w:rPr>
        <w:t> </w:t>
      </w:r>
      <w:r>
        <w:rPr>
          <w:sz w:val="18"/>
        </w:rPr>
        <w:t>процесу</w:t>
      </w:r>
      <w:r>
        <w:rPr>
          <w:spacing w:val="-11"/>
          <w:sz w:val="18"/>
        </w:rPr>
        <w:t> </w:t>
      </w:r>
      <w:r>
        <w:rPr>
          <w:sz w:val="18"/>
        </w:rPr>
        <w:t>демографског</w:t>
      </w:r>
      <w:r>
        <w:rPr>
          <w:spacing w:val="-5"/>
          <w:sz w:val="18"/>
        </w:rPr>
        <w:t> </w:t>
      </w:r>
      <w:r>
        <w:rPr>
          <w:sz w:val="18"/>
        </w:rPr>
        <w:t>старења</w:t>
      </w:r>
      <w:r>
        <w:rPr>
          <w:spacing w:val="-9"/>
          <w:sz w:val="18"/>
        </w:rPr>
        <w:t> </w:t>
      </w:r>
      <w:r>
        <w:rPr>
          <w:sz w:val="18"/>
        </w:rPr>
        <w:t>по</w:t>
      </w:r>
      <w:r>
        <w:rPr>
          <w:spacing w:val="-8"/>
          <w:sz w:val="18"/>
        </w:rPr>
        <w:t> </w:t>
      </w:r>
      <w:r>
        <w:rPr>
          <w:sz w:val="18"/>
        </w:rPr>
        <w:t>свим</w:t>
      </w:r>
      <w:r>
        <w:rPr>
          <w:spacing w:val="-9"/>
          <w:sz w:val="18"/>
        </w:rPr>
        <w:t> </w:t>
      </w:r>
      <w:r>
        <w:rPr>
          <w:sz w:val="18"/>
        </w:rPr>
        <w:t>параметрима</w:t>
      </w:r>
      <w:r>
        <w:rPr>
          <w:spacing w:val="-9"/>
          <w:sz w:val="18"/>
        </w:rPr>
        <w:t> </w:t>
      </w:r>
      <w:r>
        <w:rPr>
          <w:sz w:val="18"/>
        </w:rPr>
        <w:t>и</w:t>
      </w:r>
      <w:r>
        <w:rPr>
          <w:spacing w:val="-9"/>
          <w:sz w:val="18"/>
        </w:rPr>
        <w:t> </w:t>
      </w:r>
      <w:r>
        <w:rPr>
          <w:sz w:val="18"/>
        </w:rPr>
        <w:t>да</w:t>
      </w:r>
      <w:r>
        <w:rPr>
          <w:spacing w:val="-9"/>
          <w:sz w:val="18"/>
        </w:rPr>
        <w:t> </w:t>
      </w:r>
      <w:r>
        <w:rPr>
          <w:sz w:val="18"/>
        </w:rPr>
        <w:t>ће</w:t>
      </w:r>
      <w:r>
        <w:rPr>
          <w:spacing w:val="-9"/>
          <w:sz w:val="18"/>
        </w:rPr>
        <w:t> </w:t>
      </w:r>
      <w:r>
        <w:rPr>
          <w:sz w:val="18"/>
        </w:rPr>
        <w:t>неминовно</w:t>
      </w:r>
      <w:r>
        <w:rPr>
          <w:spacing w:val="-8"/>
          <w:sz w:val="18"/>
        </w:rPr>
        <w:t> </w:t>
      </w:r>
      <w:r>
        <w:rPr>
          <w:sz w:val="18"/>
        </w:rPr>
        <w:t>доћи</w:t>
      </w:r>
      <w:r>
        <w:rPr>
          <w:spacing w:val="-9"/>
          <w:sz w:val="18"/>
        </w:rPr>
        <w:t> </w:t>
      </w:r>
      <w:r>
        <w:rPr>
          <w:sz w:val="18"/>
        </w:rPr>
        <w:t>до</w:t>
      </w:r>
      <w:r>
        <w:rPr>
          <w:spacing w:val="-9"/>
          <w:sz w:val="18"/>
        </w:rPr>
        <w:t> </w:t>
      </w:r>
      <w:r>
        <w:rPr>
          <w:sz w:val="18"/>
        </w:rPr>
        <w:t>смањивања учешћа радно способног становништва у укупној популацији</w:t>
      </w:r>
    </w:p>
    <w:p>
      <w:pPr>
        <w:spacing w:line="240" w:lineRule="auto" w:before="0"/>
        <w:ind w:left="360" w:right="719" w:firstLine="0"/>
        <w:jc w:val="both"/>
        <w:rPr>
          <w:sz w:val="18"/>
        </w:rPr>
      </w:pPr>
      <w:r>
        <w:rPr>
          <w:position w:val="6"/>
          <w:sz w:val="12"/>
        </w:rPr>
        <w:t>12</w:t>
      </w:r>
      <w:r>
        <w:rPr>
          <w:spacing w:val="20"/>
          <w:position w:val="6"/>
          <w:sz w:val="12"/>
        </w:rPr>
        <w:t> </w:t>
      </w:r>
      <w:r>
        <w:rPr>
          <w:sz w:val="18"/>
        </w:rPr>
        <w:t>Анкета о радној снази, која сагледава стање и прати промене на тржишту рада, спроводи се од 1995. године у Србији. На почетку истраживања спроводила се једанпут годишње. Међутим, услед одређених методолошких промена, од 2015. </w:t>
      </w:r>
      <w:r>
        <w:rPr>
          <w:spacing w:val="-2"/>
          <w:sz w:val="18"/>
        </w:rPr>
        <w:t>године, Републички завод за статистику, уз коришћење међународних препорука и дефиниција, спроводи је континуирано, </w:t>
      </w:r>
      <w:r>
        <w:rPr>
          <w:sz w:val="18"/>
        </w:rPr>
        <w:t>при чему је дошло до пораста броја домаћинстава у узорку, као и до промена у самом начину оцењивања. Више о методологији </w:t>
      </w:r>
      <w:hyperlink r:id="rId9">
        <w:r>
          <w:rPr>
            <w:color w:val="0462C1"/>
            <w:sz w:val="18"/>
            <w:u w:val="single" w:color="0462C1"/>
          </w:rPr>
          <w:t>https://publikacije.stat.gov.rs/G2017/Pdf/G20177069.pdf</w:t>
        </w:r>
      </w:hyperlink>
    </w:p>
    <w:p>
      <w:pPr>
        <w:spacing w:before="0"/>
        <w:ind w:left="360" w:right="720" w:firstLine="0"/>
        <w:jc w:val="both"/>
        <w:rPr>
          <w:sz w:val="18"/>
        </w:rPr>
      </w:pPr>
      <w:r>
        <w:rPr>
          <w:position w:val="6"/>
          <w:sz w:val="12"/>
        </w:rPr>
        <w:t>13</w:t>
      </w:r>
      <w:r>
        <w:rPr>
          <w:spacing w:val="18"/>
          <w:position w:val="6"/>
          <w:sz w:val="12"/>
        </w:rPr>
        <w:t> </w:t>
      </w:r>
      <w:r>
        <w:rPr>
          <w:sz w:val="18"/>
        </w:rPr>
        <w:t>Повећање активног становништва остварено је захваљујући повећању броја запослених, јер је у</w:t>
      </w:r>
      <w:r>
        <w:rPr>
          <w:spacing w:val="-1"/>
          <w:sz w:val="18"/>
        </w:rPr>
        <w:t> </w:t>
      </w:r>
      <w:r>
        <w:rPr>
          <w:sz w:val="18"/>
        </w:rPr>
        <w:t>посматраном периоду број запослених порастао више него што се смањио број незапослених</w:t>
      </w:r>
    </w:p>
    <w:p>
      <w:pPr>
        <w:spacing w:after="0"/>
        <w:jc w:val="both"/>
        <w:rPr>
          <w:sz w:val="18"/>
        </w:rPr>
        <w:sectPr>
          <w:pgSz w:w="12240" w:h="15840"/>
          <w:pgMar w:header="0" w:footer="702" w:top="1360" w:bottom="900" w:left="1080" w:right="720"/>
        </w:sectPr>
      </w:pPr>
    </w:p>
    <w:p>
      <w:pPr>
        <w:pStyle w:val="BodyText"/>
        <w:spacing w:before="74"/>
      </w:pPr>
      <w:r>
        <w:rPr/>
        <w:t>Табела</w:t>
      </w:r>
      <w:r>
        <w:rPr>
          <w:spacing w:val="-4"/>
        </w:rPr>
        <w:t> </w:t>
      </w:r>
      <w:r>
        <w:rPr/>
        <w:t>2.</w:t>
      </w:r>
      <w:r>
        <w:rPr>
          <w:spacing w:val="56"/>
        </w:rPr>
        <w:t>  </w:t>
      </w:r>
      <w:r>
        <w:rPr/>
        <w:t>Основни</w:t>
      </w:r>
      <w:r>
        <w:rPr>
          <w:spacing w:val="-2"/>
        </w:rPr>
        <w:t> </w:t>
      </w:r>
      <w:r>
        <w:rPr/>
        <w:t>показатељи</w:t>
      </w:r>
      <w:r>
        <w:rPr>
          <w:spacing w:val="-2"/>
        </w:rPr>
        <w:t> </w:t>
      </w:r>
      <w:r>
        <w:rPr/>
        <w:t>тржишта</w:t>
      </w:r>
      <w:r>
        <w:rPr>
          <w:spacing w:val="-3"/>
        </w:rPr>
        <w:t> </w:t>
      </w:r>
      <w:r>
        <w:rPr/>
        <w:t>рада</w:t>
      </w:r>
      <w:r>
        <w:rPr>
          <w:spacing w:val="-3"/>
        </w:rPr>
        <w:t> </w:t>
      </w:r>
      <w:r>
        <w:rPr/>
        <w:t>за</w:t>
      </w:r>
      <w:r>
        <w:rPr>
          <w:spacing w:val="-4"/>
        </w:rPr>
        <w:t> </w:t>
      </w:r>
      <w:r>
        <w:rPr/>
        <w:t>становништво</w:t>
      </w:r>
      <w:r>
        <w:rPr>
          <w:spacing w:val="1"/>
        </w:rPr>
        <w:t> </w:t>
      </w:r>
      <w:r>
        <w:rPr/>
        <w:t>радног</w:t>
      </w:r>
      <w:r>
        <w:rPr>
          <w:spacing w:val="-1"/>
        </w:rPr>
        <w:t> </w:t>
      </w:r>
      <w:r>
        <w:rPr/>
        <w:t>узраста, 2015-</w:t>
      </w:r>
      <w:r>
        <w:rPr>
          <w:spacing w:val="-4"/>
        </w:rPr>
        <w:t>2019</w:t>
      </w:r>
    </w:p>
    <w:p>
      <w:pPr>
        <w:pStyle w:val="BodyText"/>
        <w:spacing w:before="3"/>
        <w:ind w:left="0"/>
        <w:jc w:val="left"/>
        <w:rPr>
          <w:sz w:val="13"/>
        </w:r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3"/>
        <w:gridCol w:w="1141"/>
        <w:gridCol w:w="982"/>
        <w:gridCol w:w="982"/>
        <w:gridCol w:w="984"/>
        <w:gridCol w:w="824"/>
        <w:gridCol w:w="1133"/>
      </w:tblGrid>
      <w:tr>
        <w:trPr>
          <w:trHeight w:val="302" w:hRule="atLeast"/>
        </w:trPr>
        <w:tc>
          <w:tcPr>
            <w:tcW w:w="3183" w:type="dxa"/>
            <w:vMerge w:val="restart"/>
            <w:tcBorders>
              <w:top w:val="single" w:sz="4" w:space="0" w:color="000000"/>
              <w:bottom w:val="single" w:sz="4" w:space="0" w:color="000000"/>
              <w:right w:val="single" w:sz="4" w:space="0" w:color="000000"/>
            </w:tcBorders>
          </w:tcPr>
          <w:p>
            <w:pPr>
              <w:pStyle w:val="TableParagraph"/>
              <w:rPr>
                <w:sz w:val="22"/>
              </w:rPr>
            </w:pPr>
          </w:p>
        </w:tc>
        <w:tc>
          <w:tcPr>
            <w:tcW w:w="1141" w:type="dxa"/>
            <w:tcBorders>
              <w:top w:val="single" w:sz="4" w:space="0" w:color="000000"/>
              <w:left w:val="single" w:sz="4" w:space="0" w:color="000000"/>
              <w:bottom w:val="single" w:sz="4" w:space="0" w:color="000000"/>
            </w:tcBorders>
          </w:tcPr>
          <w:p>
            <w:pPr>
              <w:pStyle w:val="TableParagraph"/>
              <w:spacing w:before="34"/>
              <w:ind w:right="263"/>
              <w:jc w:val="right"/>
              <w:rPr>
                <w:b/>
                <w:sz w:val="20"/>
              </w:rPr>
            </w:pPr>
            <w:r>
              <w:rPr>
                <w:b/>
                <w:spacing w:val="-4"/>
                <w:sz w:val="20"/>
              </w:rPr>
              <w:t>2015</w:t>
            </w:r>
          </w:p>
        </w:tc>
        <w:tc>
          <w:tcPr>
            <w:tcW w:w="982" w:type="dxa"/>
            <w:tcBorders>
              <w:top w:val="single" w:sz="4" w:space="0" w:color="000000"/>
              <w:bottom w:val="single" w:sz="4" w:space="0" w:color="000000"/>
            </w:tcBorders>
          </w:tcPr>
          <w:p>
            <w:pPr>
              <w:pStyle w:val="TableParagraph"/>
              <w:spacing w:before="34"/>
              <w:ind w:left="153" w:right="101"/>
              <w:jc w:val="center"/>
              <w:rPr>
                <w:b/>
                <w:sz w:val="20"/>
              </w:rPr>
            </w:pPr>
            <w:r>
              <w:rPr>
                <w:b/>
                <w:spacing w:val="-4"/>
                <w:sz w:val="20"/>
              </w:rPr>
              <w:t>2016</w:t>
            </w:r>
          </w:p>
        </w:tc>
        <w:tc>
          <w:tcPr>
            <w:tcW w:w="982" w:type="dxa"/>
            <w:tcBorders>
              <w:top w:val="single" w:sz="4" w:space="0" w:color="000000"/>
              <w:bottom w:val="single" w:sz="4" w:space="0" w:color="000000"/>
            </w:tcBorders>
          </w:tcPr>
          <w:p>
            <w:pPr>
              <w:pStyle w:val="TableParagraph"/>
              <w:spacing w:before="34"/>
              <w:ind w:right="263"/>
              <w:jc w:val="right"/>
              <w:rPr>
                <w:b/>
                <w:sz w:val="20"/>
              </w:rPr>
            </w:pPr>
            <w:r>
              <w:rPr>
                <w:b/>
                <w:spacing w:val="-4"/>
                <w:sz w:val="20"/>
              </w:rPr>
              <w:t>2017</w:t>
            </w:r>
          </w:p>
        </w:tc>
        <w:tc>
          <w:tcPr>
            <w:tcW w:w="984" w:type="dxa"/>
            <w:tcBorders>
              <w:top w:val="single" w:sz="4" w:space="0" w:color="000000"/>
              <w:bottom w:val="single" w:sz="4" w:space="0" w:color="000000"/>
            </w:tcBorders>
          </w:tcPr>
          <w:p>
            <w:pPr>
              <w:pStyle w:val="TableParagraph"/>
              <w:spacing w:before="34"/>
              <w:ind w:left="150" w:right="101"/>
              <w:jc w:val="center"/>
              <w:rPr>
                <w:b/>
                <w:sz w:val="20"/>
              </w:rPr>
            </w:pPr>
            <w:r>
              <w:rPr>
                <w:b/>
                <w:spacing w:val="-4"/>
                <w:sz w:val="20"/>
              </w:rPr>
              <w:t>2018</w:t>
            </w:r>
          </w:p>
        </w:tc>
        <w:tc>
          <w:tcPr>
            <w:tcW w:w="824" w:type="dxa"/>
            <w:tcBorders>
              <w:top w:val="single" w:sz="4" w:space="0" w:color="000000"/>
              <w:bottom w:val="single" w:sz="4" w:space="0" w:color="000000"/>
              <w:right w:val="single" w:sz="4" w:space="0" w:color="000000"/>
            </w:tcBorders>
          </w:tcPr>
          <w:p>
            <w:pPr>
              <w:pStyle w:val="TableParagraph"/>
              <w:spacing w:before="34"/>
              <w:ind w:right="98"/>
              <w:jc w:val="right"/>
              <w:rPr>
                <w:b/>
                <w:sz w:val="20"/>
              </w:rPr>
            </w:pPr>
            <w:r>
              <w:rPr>
                <w:b/>
                <w:spacing w:val="-4"/>
                <w:sz w:val="20"/>
              </w:rPr>
              <w:t>2019</w:t>
            </w:r>
          </w:p>
        </w:tc>
        <w:tc>
          <w:tcPr>
            <w:tcW w:w="1133" w:type="dxa"/>
            <w:tcBorders>
              <w:top w:val="single" w:sz="4" w:space="0" w:color="000000"/>
              <w:left w:val="single" w:sz="4" w:space="0" w:color="000000"/>
              <w:bottom w:val="single" w:sz="4" w:space="0" w:color="000000"/>
            </w:tcBorders>
          </w:tcPr>
          <w:p>
            <w:pPr>
              <w:pStyle w:val="TableParagraph"/>
              <w:spacing w:before="47"/>
              <w:ind w:left="175"/>
              <w:rPr>
                <w:b/>
                <w:sz w:val="18"/>
              </w:rPr>
            </w:pPr>
            <w:r>
              <w:rPr>
                <w:b/>
                <w:spacing w:val="-2"/>
                <w:sz w:val="18"/>
              </w:rPr>
              <w:t>2019/2015</w:t>
            </w:r>
          </w:p>
        </w:tc>
      </w:tr>
      <w:tr>
        <w:trPr>
          <w:trHeight w:val="299" w:hRule="atLeast"/>
        </w:trPr>
        <w:tc>
          <w:tcPr>
            <w:tcW w:w="3183" w:type="dxa"/>
            <w:vMerge/>
            <w:tcBorders>
              <w:top w:val="nil"/>
              <w:bottom w:val="single" w:sz="4" w:space="0" w:color="000000"/>
              <w:right w:val="single" w:sz="4" w:space="0" w:color="000000"/>
            </w:tcBorders>
          </w:tcPr>
          <w:p>
            <w:pPr>
              <w:rPr>
                <w:sz w:val="2"/>
                <w:szCs w:val="2"/>
              </w:rPr>
            </w:pPr>
          </w:p>
        </w:tc>
        <w:tc>
          <w:tcPr>
            <w:tcW w:w="6046" w:type="dxa"/>
            <w:gridSpan w:val="6"/>
            <w:tcBorders>
              <w:top w:val="single" w:sz="4" w:space="0" w:color="000000"/>
              <w:left w:val="single" w:sz="4" w:space="0" w:color="000000"/>
              <w:bottom w:val="single" w:sz="4" w:space="0" w:color="000000"/>
            </w:tcBorders>
          </w:tcPr>
          <w:p>
            <w:pPr>
              <w:pStyle w:val="TableParagraph"/>
              <w:spacing w:before="40"/>
              <w:ind w:left="1749"/>
              <w:rPr>
                <w:sz w:val="18"/>
              </w:rPr>
            </w:pPr>
            <w:r>
              <w:rPr>
                <w:sz w:val="18"/>
              </w:rPr>
              <w:t>Апсолутни</w:t>
            </w:r>
            <w:r>
              <w:rPr>
                <w:spacing w:val="-3"/>
                <w:sz w:val="18"/>
              </w:rPr>
              <w:t> </w:t>
            </w:r>
            <w:r>
              <w:rPr>
                <w:sz w:val="18"/>
              </w:rPr>
              <w:t>бројеви</w:t>
            </w:r>
            <w:r>
              <w:rPr>
                <w:spacing w:val="-4"/>
                <w:sz w:val="18"/>
              </w:rPr>
              <w:t> </w:t>
            </w:r>
            <w:r>
              <w:rPr>
                <w:sz w:val="18"/>
              </w:rPr>
              <w:t>(у</w:t>
            </w:r>
            <w:r>
              <w:rPr>
                <w:spacing w:val="-6"/>
                <w:sz w:val="18"/>
              </w:rPr>
              <w:t> </w:t>
            </w:r>
            <w:r>
              <w:rPr>
                <w:spacing w:val="-2"/>
                <w:sz w:val="18"/>
              </w:rPr>
              <w:t>хиљадама)</w:t>
            </w:r>
          </w:p>
        </w:tc>
      </w:tr>
      <w:tr>
        <w:trPr>
          <w:trHeight w:val="300" w:hRule="atLeast"/>
        </w:trPr>
        <w:tc>
          <w:tcPr>
            <w:tcW w:w="3183" w:type="dxa"/>
            <w:tcBorders>
              <w:top w:val="single" w:sz="4" w:space="0" w:color="000000"/>
              <w:right w:val="single" w:sz="4" w:space="0" w:color="000000"/>
            </w:tcBorders>
          </w:tcPr>
          <w:p>
            <w:pPr>
              <w:pStyle w:val="TableParagraph"/>
              <w:spacing w:before="34"/>
              <w:ind w:left="122"/>
              <w:rPr>
                <w:b/>
                <w:sz w:val="20"/>
              </w:rPr>
            </w:pPr>
            <w:r>
              <w:rPr>
                <w:b/>
                <w:sz w:val="20"/>
              </w:rPr>
              <w:t>Популација</w:t>
            </w:r>
            <w:r>
              <w:rPr>
                <w:b/>
                <w:spacing w:val="-10"/>
                <w:sz w:val="20"/>
              </w:rPr>
              <w:t> </w:t>
            </w:r>
            <w:r>
              <w:rPr>
                <w:b/>
                <w:sz w:val="20"/>
              </w:rPr>
              <w:t>старости</w:t>
            </w:r>
            <w:r>
              <w:rPr>
                <w:b/>
                <w:spacing w:val="-11"/>
                <w:sz w:val="20"/>
              </w:rPr>
              <w:t> </w:t>
            </w:r>
            <w:r>
              <w:rPr>
                <w:b/>
                <w:sz w:val="20"/>
              </w:rPr>
              <w:t>15-</w:t>
            </w:r>
            <w:r>
              <w:rPr>
                <w:b/>
                <w:spacing w:val="-5"/>
                <w:sz w:val="20"/>
              </w:rPr>
              <w:t>64</w:t>
            </w:r>
          </w:p>
        </w:tc>
        <w:tc>
          <w:tcPr>
            <w:tcW w:w="1141" w:type="dxa"/>
            <w:tcBorders>
              <w:top w:val="single" w:sz="4" w:space="0" w:color="000000"/>
              <w:left w:val="single" w:sz="4" w:space="0" w:color="000000"/>
            </w:tcBorders>
          </w:tcPr>
          <w:p>
            <w:pPr>
              <w:pStyle w:val="TableParagraph"/>
              <w:spacing w:before="29"/>
              <w:ind w:right="265"/>
              <w:jc w:val="right"/>
              <w:rPr>
                <w:sz w:val="20"/>
              </w:rPr>
            </w:pPr>
            <w:r>
              <w:rPr>
                <w:spacing w:val="-2"/>
                <w:sz w:val="20"/>
              </w:rPr>
              <w:t>4.753</w:t>
            </w:r>
          </w:p>
        </w:tc>
        <w:tc>
          <w:tcPr>
            <w:tcW w:w="982" w:type="dxa"/>
            <w:tcBorders>
              <w:top w:val="single" w:sz="4" w:space="0" w:color="000000"/>
            </w:tcBorders>
          </w:tcPr>
          <w:p>
            <w:pPr>
              <w:pStyle w:val="TableParagraph"/>
              <w:spacing w:before="29"/>
              <w:ind w:left="153" w:right="153"/>
              <w:jc w:val="center"/>
              <w:rPr>
                <w:sz w:val="20"/>
              </w:rPr>
            </w:pPr>
            <w:r>
              <w:rPr>
                <w:spacing w:val="-2"/>
                <w:sz w:val="20"/>
              </w:rPr>
              <w:t>4.677</w:t>
            </w:r>
          </w:p>
        </w:tc>
        <w:tc>
          <w:tcPr>
            <w:tcW w:w="982" w:type="dxa"/>
            <w:tcBorders>
              <w:top w:val="single" w:sz="4" w:space="0" w:color="000000"/>
            </w:tcBorders>
          </w:tcPr>
          <w:p>
            <w:pPr>
              <w:pStyle w:val="TableParagraph"/>
              <w:spacing w:before="29"/>
              <w:ind w:right="265"/>
              <w:jc w:val="right"/>
              <w:rPr>
                <w:sz w:val="20"/>
              </w:rPr>
            </w:pPr>
            <w:r>
              <w:rPr>
                <w:spacing w:val="-2"/>
                <w:sz w:val="20"/>
              </w:rPr>
              <w:t>4.619</w:t>
            </w:r>
          </w:p>
        </w:tc>
        <w:tc>
          <w:tcPr>
            <w:tcW w:w="984" w:type="dxa"/>
            <w:tcBorders>
              <w:top w:val="single" w:sz="4" w:space="0" w:color="000000"/>
            </w:tcBorders>
          </w:tcPr>
          <w:p>
            <w:pPr>
              <w:pStyle w:val="TableParagraph"/>
              <w:spacing w:before="29"/>
              <w:ind w:left="150" w:right="150"/>
              <w:jc w:val="center"/>
              <w:rPr>
                <w:sz w:val="20"/>
              </w:rPr>
            </w:pPr>
            <w:r>
              <w:rPr>
                <w:spacing w:val="-2"/>
                <w:sz w:val="20"/>
              </w:rPr>
              <w:t>4.565</w:t>
            </w:r>
          </w:p>
        </w:tc>
        <w:tc>
          <w:tcPr>
            <w:tcW w:w="824" w:type="dxa"/>
            <w:tcBorders>
              <w:top w:val="single" w:sz="4" w:space="0" w:color="000000"/>
              <w:right w:val="single" w:sz="4" w:space="0" w:color="000000"/>
            </w:tcBorders>
          </w:tcPr>
          <w:p>
            <w:pPr>
              <w:pStyle w:val="TableParagraph"/>
              <w:spacing w:before="29"/>
              <w:ind w:right="100"/>
              <w:jc w:val="right"/>
              <w:rPr>
                <w:sz w:val="20"/>
              </w:rPr>
            </w:pPr>
            <w:r>
              <w:rPr>
                <w:spacing w:val="-2"/>
                <w:sz w:val="20"/>
              </w:rPr>
              <w:t>4.504</w:t>
            </w:r>
          </w:p>
        </w:tc>
        <w:tc>
          <w:tcPr>
            <w:tcW w:w="1133" w:type="dxa"/>
            <w:tcBorders>
              <w:top w:val="single" w:sz="4" w:space="0" w:color="000000"/>
              <w:left w:val="single" w:sz="4" w:space="0" w:color="000000"/>
            </w:tcBorders>
          </w:tcPr>
          <w:p>
            <w:pPr>
              <w:pStyle w:val="TableParagraph"/>
              <w:spacing w:before="29"/>
              <w:ind w:right="105"/>
              <w:jc w:val="right"/>
              <w:rPr>
                <w:sz w:val="20"/>
              </w:rPr>
            </w:pPr>
            <w:r>
              <w:rPr>
                <w:spacing w:val="-4"/>
                <w:sz w:val="20"/>
              </w:rPr>
              <w:t>-</w:t>
            </w:r>
            <w:r>
              <w:rPr>
                <w:spacing w:val="-5"/>
                <w:sz w:val="20"/>
              </w:rPr>
              <w:t>249</w:t>
            </w:r>
          </w:p>
        </w:tc>
      </w:tr>
      <w:tr>
        <w:trPr>
          <w:trHeight w:val="297" w:hRule="atLeast"/>
        </w:trPr>
        <w:tc>
          <w:tcPr>
            <w:tcW w:w="3183" w:type="dxa"/>
            <w:tcBorders>
              <w:right w:val="single" w:sz="4" w:space="0" w:color="000000"/>
            </w:tcBorders>
          </w:tcPr>
          <w:p>
            <w:pPr>
              <w:pStyle w:val="TableParagraph"/>
              <w:spacing w:before="28"/>
              <w:ind w:left="424"/>
              <w:rPr>
                <w:sz w:val="20"/>
              </w:rPr>
            </w:pPr>
            <w:r>
              <w:rPr>
                <w:sz w:val="20"/>
              </w:rPr>
              <w:t>Активно</w:t>
            </w:r>
            <w:r>
              <w:rPr>
                <w:spacing w:val="-13"/>
                <w:sz w:val="20"/>
              </w:rPr>
              <w:t> </w:t>
            </w:r>
            <w:r>
              <w:rPr>
                <w:spacing w:val="-2"/>
                <w:sz w:val="20"/>
              </w:rPr>
              <w:t>становништво</w:t>
            </w:r>
          </w:p>
        </w:tc>
        <w:tc>
          <w:tcPr>
            <w:tcW w:w="1141" w:type="dxa"/>
            <w:tcBorders>
              <w:left w:val="single" w:sz="4" w:space="0" w:color="000000"/>
            </w:tcBorders>
          </w:tcPr>
          <w:p>
            <w:pPr>
              <w:pStyle w:val="TableParagraph"/>
              <w:spacing w:before="28"/>
              <w:ind w:right="265"/>
              <w:jc w:val="right"/>
              <w:rPr>
                <w:sz w:val="20"/>
              </w:rPr>
            </w:pPr>
            <w:r>
              <w:rPr>
                <w:spacing w:val="-2"/>
                <w:sz w:val="20"/>
              </w:rPr>
              <w:t>3.022</w:t>
            </w:r>
          </w:p>
        </w:tc>
        <w:tc>
          <w:tcPr>
            <w:tcW w:w="982" w:type="dxa"/>
          </w:tcPr>
          <w:p>
            <w:pPr>
              <w:pStyle w:val="TableParagraph"/>
              <w:spacing w:before="28"/>
              <w:ind w:left="153" w:right="153"/>
              <w:jc w:val="center"/>
              <w:rPr>
                <w:sz w:val="20"/>
              </w:rPr>
            </w:pPr>
            <w:r>
              <w:rPr>
                <w:spacing w:val="-2"/>
                <w:sz w:val="20"/>
              </w:rPr>
              <w:t>3.068</w:t>
            </w:r>
          </w:p>
        </w:tc>
        <w:tc>
          <w:tcPr>
            <w:tcW w:w="982" w:type="dxa"/>
          </w:tcPr>
          <w:p>
            <w:pPr>
              <w:pStyle w:val="TableParagraph"/>
              <w:spacing w:before="28"/>
              <w:ind w:right="265"/>
              <w:jc w:val="right"/>
              <w:rPr>
                <w:sz w:val="20"/>
              </w:rPr>
            </w:pPr>
            <w:r>
              <w:rPr>
                <w:spacing w:val="-2"/>
                <w:sz w:val="20"/>
              </w:rPr>
              <w:t>3.081</w:t>
            </w:r>
          </w:p>
        </w:tc>
        <w:tc>
          <w:tcPr>
            <w:tcW w:w="984" w:type="dxa"/>
          </w:tcPr>
          <w:p>
            <w:pPr>
              <w:pStyle w:val="TableParagraph"/>
              <w:spacing w:before="28"/>
              <w:ind w:left="150" w:right="150"/>
              <w:jc w:val="center"/>
              <w:rPr>
                <w:sz w:val="20"/>
              </w:rPr>
            </w:pPr>
            <w:r>
              <w:rPr>
                <w:spacing w:val="-2"/>
                <w:sz w:val="20"/>
              </w:rPr>
              <w:t>3.096</w:t>
            </w:r>
          </w:p>
        </w:tc>
        <w:tc>
          <w:tcPr>
            <w:tcW w:w="824" w:type="dxa"/>
            <w:tcBorders>
              <w:right w:val="single" w:sz="4" w:space="0" w:color="000000"/>
            </w:tcBorders>
          </w:tcPr>
          <w:p>
            <w:pPr>
              <w:pStyle w:val="TableParagraph"/>
              <w:spacing w:before="28"/>
              <w:ind w:right="100"/>
              <w:jc w:val="right"/>
              <w:rPr>
                <w:sz w:val="20"/>
              </w:rPr>
            </w:pPr>
            <w:r>
              <w:rPr>
                <w:spacing w:val="-2"/>
                <w:sz w:val="20"/>
              </w:rPr>
              <w:t>3.068</w:t>
            </w:r>
          </w:p>
        </w:tc>
        <w:tc>
          <w:tcPr>
            <w:tcW w:w="1133" w:type="dxa"/>
            <w:tcBorders>
              <w:left w:val="single" w:sz="4" w:space="0" w:color="000000"/>
            </w:tcBorders>
          </w:tcPr>
          <w:p>
            <w:pPr>
              <w:pStyle w:val="TableParagraph"/>
              <w:spacing w:before="28"/>
              <w:ind w:right="103"/>
              <w:jc w:val="right"/>
              <w:rPr>
                <w:sz w:val="20"/>
              </w:rPr>
            </w:pPr>
            <w:r>
              <w:rPr>
                <w:spacing w:val="-5"/>
                <w:sz w:val="20"/>
              </w:rPr>
              <w:t>46</w:t>
            </w:r>
          </w:p>
        </w:tc>
      </w:tr>
      <w:tr>
        <w:trPr>
          <w:trHeight w:val="300" w:hRule="atLeast"/>
        </w:trPr>
        <w:tc>
          <w:tcPr>
            <w:tcW w:w="3183" w:type="dxa"/>
            <w:tcBorders>
              <w:right w:val="single" w:sz="4" w:space="0" w:color="000000"/>
            </w:tcBorders>
          </w:tcPr>
          <w:p>
            <w:pPr>
              <w:pStyle w:val="TableParagraph"/>
              <w:spacing w:before="30"/>
              <w:ind w:left="674"/>
              <w:rPr>
                <w:sz w:val="20"/>
              </w:rPr>
            </w:pPr>
            <w:r>
              <w:rPr>
                <w:spacing w:val="-2"/>
                <w:sz w:val="20"/>
              </w:rPr>
              <w:t>Запослени</w:t>
            </w:r>
          </w:p>
        </w:tc>
        <w:tc>
          <w:tcPr>
            <w:tcW w:w="1141" w:type="dxa"/>
            <w:tcBorders>
              <w:left w:val="single" w:sz="4" w:space="0" w:color="000000"/>
            </w:tcBorders>
          </w:tcPr>
          <w:p>
            <w:pPr>
              <w:pStyle w:val="TableParagraph"/>
              <w:spacing w:before="30"/>
              <w:ind w:right="265"/>
              <w:jc w:val="right"/>
              <w:rPr>
                <w:sz w:val="20"/>
              </w:rPr>
            </w:pPr>
            <w:r>
              <w:rPr>
                <w:spacing w:val="-2"/>
                <w:sz w:val="20"/>
              </w:rPr>
              <w:t>2.471</w:t>
            </w:r>
          </w:p>
        </w:tc>
        <w:tc>
          <w:tcPr>
            <w:tcW w:w="982" w:type="dxa"/>
          </w:tcPr>
          <w:p>
            <w:pPr>
              <w:pStyle w:val="TableParagraph"/>
              <w:spacing w:before="30"/>
              <w:ind w:left="153" w:right="153"/>
              <w:jc w:val="center"/>
              <w:rPr>
                <w:sz w:val="20"/>
              </w:rPr>
            </w:pPr>
            <w:r>
              <w:rPr>
                <w:spacing w:val="-2"/>
                <w:sz w:val="20"/>
              </w:rPr>
              <w:t>2.580</w:t>
            </w:r>
          </w:p>
        </w:tc>
        <w:tc>
          <w:tcPr>
            <w:tcW w:w="982" w:type="dxa"/>
          </w:tcPr>
          <w:p>
            <w:pPr>
              <w:pStyle w:val="TableParagraph"/>
              <w:spacing w:before="30"/>
              <w:ind w:right="265"/>
              <w:jc w:val="right"/>
              <w:rPr>
                <w:sz w:val="20"/>
              </w:rPr>
            </w:pPr>
            <w:r>
              <w:rPr>
                <w:spacing w:val="-2"/>
                <w:sz w:val="20"/>
              </w:rPr>
              <w:t>2.648</w:t>
            </w:r>
          </w:p>
        </w:tc>
        <w:tc>
          <w:tcPr>
            <w:tcW w:w="984" w:type="dxa"/>
          </w:tcPr>
          <w:p>
            <w:pPr>
              <w:pStyle w:val="TableParagraph"/>
              <w:spacing w:before="30"/>
              <w:ind w:left="150" w:right="150"/>
              <w:jc w:val="center"/>
              <w:rPr>
                <w:sz w:val="20"/>
              </w:rPr>
            </w:pPr>
            <w:r>
              <w:rPr>
                <w:spacing w:val="-2"/>
                <w:sz w:val="20"/>
              </w:rPr>
              <w:t>2.685</w:t>
            </w:r>
          </w:p>
        </w:tc>
        <w:tc>
          <w:tcPr>
            <w:tcW w:w="824" w:type="dxa"/>
            <w:tcBorders>
              <w:right w:val="single" w:sz="4" w:space="0" w:color="000000"/>
            </w:tcBorders>
          </w:tcPr>
          <w:p>
            <w:pPr>
              <w:pStyle w:val="TableParagraph"/>
              <w:spacing w:before="30"/>
              <w:ind w:right="100"/>
              <w:jc w:val="right"/>
              <w:rPr>
                <w:sz w:val="20"/>
              </w:rPr>
            </w:pPr>
            <w:r>
              <w:rPr>
                <w:spacing w:val="-2"/>
                <w:sz w:val="20"/>
              </w:rPr>
              <w:t>2.733</w:t>
            </w:r>
          </w:p>
        </w:tc>
        <w:tc>
          <w:tcPr>
            <w:tcW w:w="1133" w:type="dxa"/>
            <w:tcBorders>
              <w:left w:val="single" w:sz="4" w:space="0" w:color="000000"/>
            </w:tcBorders>
          </w:tcPr>
          <w:p>
            <w:pPr>
              <w:pStyle w:val="TableParagraph"/>
              <w:spacing w:before="30"/>
              <w:ind w:right="103"/>
              <w:jc w:val="right"/>
              <w:rPr>
                <w:sz w:val="20"/>
              </w:rPr>
            </w:pPr>
            <w:r>
              <w:rPr>
                <w:spacing w:val="-5"/>
                <w:sz w:val="20"/>
              </w:rPr>
              <w:t>262</w:t>
            </w:r>
          </w:p>
        </w:tc>
      </w:tr>
      <w:tr>
        <w:trPr>
          <w:trHeight w:val="300" w:hRule="atLeast"/>
        </w:trPr>
        <w:tc>
          <w:tcPr>
            <w:tcW w:w="3183" w:type="dxa"/>
            <w:tcBorders>
              <w:right w:val="single" w:sz="4" w:space="0" w:color="000000"/>
            </w:tcBorders>
          </w:tcPr>
          <w:p>
            <w:pPr>
              <w:pStyle w:val="TableParagraph"/>
              <w:spacing w:before="30"/>
              <w:ind w:left="674"/>
              <w:rPr>
                <w:sz w:val="20"/>
              </w:rPr>
            </w:pPr>
            <w:r>
              <w:rPr>
                <w:spacing w:val="-2"/>
                <w:sz w:val="20"/>
              </w:rPr>
              <w:t>Незапослени</w:t>
            </w:r>
          </w:p>
        </w:tc>
        <w:tc>
          <w:tcPr>
            <w:tcW w:w="1141" w:type="dxa"/>
            <w:tcBorders>
              <w:left w:val="single" w:sz="4" w:space="0" w:color="000000"/>
            </w:tcBorders>
          </w:tcPr>
          <w:p>
            <w:pPr>
              <w:pStyle w:val="TableParagraph"/>
              <w:spacing w:before="30"/>
              <w:ind w:right="263"/>
              <w:jc w:val="right"/>
              <w:rPr>
                <w:sz w:val="20"/>
              </w:rPr>
            </w:pPr>
            <w:r>
              <w:rPr>
                <w:spacing w:val="-5"/>
                <w:sz w:val="20"/>
              </w:rPr>
              <w:t>551</w:t>
            </w:r>
          </w:p>
        </w:tc>
        <w:tc>
          <w:tcPr>
            <w:tcW w:w="982" w:type="dxa"/>
          </w:tcPr>
          <w:p>
            <w:pPr>
              <w:pStyle w:val="TableParagraph"/>
              <w:spacing w:before="30"/>
              <w:ind w:left="153"/>
              <w:jc w:val="center"/>
              <w:rPr>
                <w:sz w:val="20"/>
              </w:rPr>
            </w:pPr>
            <w:r>
              <w:rPr>
                <w:spacing w:val="-5"/>
                <w:sz w:val="20"/>
              </w:rPr>
              <w:t>488</w:t>
            </w:r>
          </w:p>
        </w:tc>
        <w:tc>
          <w:tcPr>
            <w:tcW w:w="982" w:type="dxa"/>
          </w:tcPr>
          <w:p>
            <w:pPr>
              <w:pStyle w:val="TableParagraph"/>
              <w:spacing w:before="30"/>
              <w:ind w:right="263"/>
              <w:jc w:val="right"/>
              <w:rPr>
                <w:sz w:val="20"/>
              </w:rPr>
            </w:pPr>
            <w:r>
              <w:rPr>
                <w:spacing w:val="-5"/>
                <w:sz w:val="20"/>
              </w:rPr>
              <w:t>433</w:t>
            </w:r>
          </w:p>
        </w:tc>
        <w:tc>
          <w:tcPr>
            <w:tcW w:w="984" w:type="dxa"/>
          </w:tcPr>
          <w:p>
            <w:pPr>
              <w:pStyle w:val="TableParagraph"/>
              <w:spacing w:before="30"/>
              <w:ind w:left="150"/>
              <w:jc w:val="center"/>
              <w:rPr>
                <w:sz w:val="20"/>
              </w:rPr>
            </w:pPr>
            <w:r>
              <w:rPr>
                <w:spacing w:val="-5"/>
                <w:sz w:val="20"/>
              </w:rPr>
              <w:t>411</w:t>
            </w:r>
          </w:p>
        </w:tc>
        <w:tc>
          <w:tcPr>
            <w:tcW w:w="824" w:type="dxa"/>
            <w:tcBorders>
              <w:right w:val="single" w:sz="4" w:space="0" w:color="000000"/>
            </w:tcBorders>
          </w:tcPr>
          <w:p>
            <w:pPr>
              <w:pStyle w:val="TableParagraph"/>
              <w:spacing w:before="30"/>
              <w:ind w:right="98"/>
              <w:jc w:val="right"/>
              <w:rPr>
                <w:sz w:val="20"/>
              </w:rPr>
            </w:pPr>
            <w:r>
              <w:rPr>
                <w:spacing w:val="-5"/>
                <w:sz w:val="20"/>
              </w:rPr>
              <w:t>335</w:t>
            </w:r>
          </w:p>
        </w:tc>
        <w:tc>
          <w:tcPr>
            <w:tcW w:w="1133" w:type="dxa"/>
            <w:tcBorders>
              <w:left w:val="single" w:sz="4" w:space="0" w:color="000000"/>
            </w:tcBorders>
          </w:tcPr>
          <w:p>
            <w:pPr>
              <w:pStyle w:val="TableParagraph"/>
              <w:spacing w:before="30"/>
              <w:ind w:right="105"/>
              <w:jc w:val="right"/>
              <w:rPr>
                <w:sz w:val="20"/>
              </w:rPr>
            </w:pPr>
            <w:r>
              <w:rPr>
                <w:spacing w:val="-4"/>
                <w:sz w:val="20"/>
              </w:rPr>
              <w:t>-</w:t>
            </w:r>
            <w:r>
              <w:rPr>
                <w:spacing w:val="-5"/>
                <w:sz w:val="20"/>
              </w:rPr>
              <w:t>216</w:t>
            </w:r>
          </w:p>
        </w:tc>
      </w:tr>
      <w:tr>
        <w:trPr>
          <w:trHeight w:val="301" w:hRule="atLeast"/>
        </w:trPr>
        <w:tc>
          <w:tcPr>
            <w:tcW w:w="3183" w:type="dxa"/>
            <w:tcBorders>
              <w:bottom w:val="single" w:sz="4" w:space="0" w:color="000000"/>
              <w:right w:val="single" w:sz="4" w:space="0" w:color="000000"/>
            </w:tcBorders>
          </w:tcPr>
          <w:p>
            <w:pPr>
              <w:pStyle w:val="TableParagraph"/>
              <w:spacing w:before="30"/>
              <w:ind w:left="424"/>
              <w:rPr>
                <w:sz w:val="20"/>
              </w:rPr>
            </w:pPr>
            <w:r>
              <w:rPr>
                <w:spacing w:val="-2"/>
                <w:sz w:val="20"/>
              </w:rPr>
              <w:t>Неактивно</w:t>
            </w:r>
            <w:r>
              <w:rPr>
                <w:spacing w:val="4"/>
                <w:sz w:val="20"/>
              </w:rPr>
              <w:t> </w:t>
            </w:r>
            <w:r>
              <w:rPr>
                <w:spacing w:val="-2"/>
                <w:sz w:val="20"/>
              </w:rPr>
              <w:t>становништво</w:t>
            </w:r>
          </w:p>
        </w:tc>
        <w:tc>
          <w:tcPr>
            <w:tcW w:w="1141" w:type="dxa"/>
            <w:tcBorders>
              <w:left w:val="single" w:sz="4" w:space="0" w:color="000000"/>
              <w:bottom w:val="single" w:sz="4" w:space="0" w:color="000000"/>
            </w:tcBorders>
          </w:tcPr>
          <w:p>
            <w:pPr>
              <w:pStyle w:val="TableParagraph"/>
              <w:spacing w:before="30"/>
              <w:ind w:right="265"/>
              <w:jc w:val="right"/>
              <w:rPr>
                <w:sz w:val="20"/>
              </w:rPr>
            </w:pPr>
            <w:r>
              <w:rPr>
                <w:spacing w:val="-2"/>
                <w:sz w:val="20"/>
              </w:rPr>
              <w:t>1.731</w:t>
            </w:r>
          </w:p>
        </w:tc>
        <w:tc>
          <w:tcPr>
            <w:tcW w:w="982" w:type="dxa"/>
            <w:tcBorders>
              <w:bottom w:val="single" w:sz="4" w:space="0" w:color="000000"/>
            </w:tcBorders>
          </w:tcPr>
          <w:p>
            <w:pPr>
              <w:pStyle w:val="TableParagraph"/>
              <w:spacing w:before="30"/>
              <w:ind w:left="153" w:right="153"/>
              <w:jc w:val="center"/>
              <w:rPr>
                <w:sz w:val="20"/>
              </w:rPr>
            </w:pPr>
            <w:r>
              <w:rPr>
                <w:spacing w:val="-2"/>
                <w:sz w:val="20"/>
              </w:rPr>
              <w:t>1.609</w:t>
            </w:r>
          </w:p>
        </w:tc>
        <w:tc>
          <w:tcPr>
            <w:tcW w:w="982" w:type="dxa"/>
            <w:tcBorders>
              <w:bottom w:val="single" w:sz="4" w:space="0" w:color="000000"/>
            </w:tcBorders>
          </w:tcPr>
          <w:p>
            <w:pPr>
              <w:pStyle w:val="TableParagraph"/>
              <w:spacing w:before="30"/>
              <w:ind w:right="265"/>
              <w:jc w:val="right"/>
              <w:rPr>
                <w:sz w:val="20"/>
              </w:rPr>
            </w:pPr>
            <w:r>
              <w:rPr>
                <w:spacing w:val="-2"/>
                <w:sz w:val="20"/>
              </w:rPr>
              <w:t>1.538</w:t>
            </w:r>
          </w:p>
        </w:tc>
        <w:tc>
          <w:tcPr>
            <w:tcW w:w="984" w:type="dxa"/>
            <w:tcBorders>
              <w:bottom w:val="single" w:sz="4" w:space="0" w:color="000000"/>
            </w:tcBorders>
          </w:tcPr>
          <w:p>
            <w:pPr>
              <w:pStyle w:val="TableParagraph"/>
              <w:spacing w:before="30"/>
              <w:ind w:left="150" w:right="150"/>
              <w:jc w:val="center"/>
              <w:rPr>
                <w:sz w:val="20"/>
              </w:rPr>
            </w:pPr>
            <w:r>
              <w:rPr>
                <w:spacing w:val="-2"/>
                <w:sz w:val="20"/>
              </w:rPr>
              <w:t>1.469</w:t>
            </w:r>
          </w:p>
        </w:tc>
        <w:tc>
          <w:tcPr>
            <w:tcW w:w="824" w:type="dxa"/>
            <w:tcBorders>
              <w:bottom w:val="single" w:sz="4" w:space="0" w:color="000000"/>
              <w:right w:val="single" w:sz="4" w:space="0" w:color="000000"/>
            </w:tcBorders>
          </w:tcPr>
          <w:p>
            <w:pPr>
              <w:pStyle w:val="TableParagraph"/>
              <w:spacing w:before="30"/>
              <w:ind w:right="100"/>
              <w:jc w:val="right"/>
              <w:rPr>
                <w:sz w:val="20"/>
              </w:rPr>
            </w:pPr>
            <w:r>
              <w:rPr>
                <w:spacing w:val="-2"/>
                <w:sz w:val="20"/>
              </w:rPr>
              <w:t>1.436</w:t>
            </w:r>
          </w:p>
        </w:tc>
        <w:tc>
          <w:tcPr>
            <w:tcW w:w="1133" w:type="dxa"/>
            <w:tcBorders>
              <w:left w:val="single" w:sz="4" w:space="0" w:color="000000"/>
              <w:bottom w:val="single" w:sz="4" w:space="0" w:color="000000"/>
            </w:tcBorders>
          </w:tcPr>
          <w:p>
            <w:pPr>
              <w:pStyle w:val="TableParagraph"/>
              <w:spacing w:before="30"/>
              <w:ind w:right="105"/>
              <w:jc w:val="right"/>
              <w:rPr>
                <w:sz w:val="20"/>
              </w:rPr>
            </w:pPr>
            <w:r>
              <w:rPr>
                <w:spacing w:val="-4"/>
                <w:sz w:val="20"/>
              </w:rPr>
              <w:t>-</w:t>
            </w:r>
            <w:r>
              <w:rPr>
                <w:spacing w:val="-5"/>
                <w:sz w:val="20"/>
              </w:rPr>
              <w:t>295</w:t>
            </w:r>
          </w:p>
        </w:tc>
      </w:tr>
      <w:tr>
        <w:trPr>
          <w:trHeight w:val="419" w:hRule="atLeast"/>
        </w:trPr>
        <w:tc>
          <w:tcPr>
            <w:tcW w:w="3183" w:type="dxa"/>
            <w:tcBorders>
              <w:top w:val="single" w:sz="4" w:space="0" w:color="000000"/>
              <w:bottom w:val="single" w:sz="4" w:space="0" w:color="000000"/>
              <w:right w:val="single" w:sz="4" w:space="0" w:color="000000"/>
            </w:tcBorders>
          </w:tcPr>
          <w:p>
            <w:pPr>
              <w:pStyle w:val="TableParagraph"/>
              <w:rPr>
                <w:sz w:val="22"/>
              </w:rPr>
            </w:pPr>
          </w:p>
        </w:tc>
        <w:tc>
          <w:tcPr>
            <w:tcW w:w="4913" w:type="dxa"/>
            <w:gridSpan w:val="5"/>
            <w:tcBorders>
              <w:top w:val="single" w:sz="4" w:space="0" w:color="000000"/>
              <w:left w:val="single" w:sz="4" w:space="0" w:color="000000"/>
              <w:bottom w:val="single" w:sz="4" w:space="0" w:color="000000"/>
              <w:right w:val="single" w:sz="4" w:space="0" w:color="000000"/>
            </w:tcBorders>
          </w:tcPr>
          <w:p>
            <w:pPr>
              <w:pStyle w:val="TableParagraph"/>
              <w:spacing w:before="103"/>
              <w:ind w:right="2"/>
              <w:jc w:val="center"/>
              <w:rPr>
                <w:sz w:val="18"/>
              </w:rPr>
            </w:pPr>
            <w:r>
              <w:rPr>
                <w:sz w:val="18"/>
              </w:rPr>
              <w:t>Стопе,</w:t>
            </w:r>
            <w:r>
              <w:rPr>
                <w:spacing w:val="-1"/>
                <w:sz w:val="18"/>
              </w:rPr>
              <w:t> </w:t>
            </w:r>
            <w:r>
              <w:rPr>
                <w:sz w:val="18"/>
              </w:rPr>
              <w:t>у</w:t>
            </w:r>
            <w:r>
              <w:rPr>
                <w:spacing w:val="-4"/>
                <w:sz w:val="18"/>
              </w:rPr>
              <w:t> </w:t>
            </w:r>
            <w:r>
              <w:rPr>
                <w:spacing w:val="-10"/>
                <w:sz w:val="18"/>
              </w:rPr>
              <w:t>%</w:t>
            </w:r>
          </w:p>
        </w:tc>
        <w:tc>
          <w:tcPr>
            <w:tcW w:w="1133" w:type="dxa"/>
            <w:tcBorders>
              <w:top w:val="single" w:sz="4" w:space="0" w:color="000000"/>
              <w:left w:val="single" w:sz="4" w:space="0" w:color="000000"/>
              <w:bottom w:val="single" w:sz="4" w:space="0" w:color="000000"/>
            </w:tcBorders>
          </w:tcPr>
          <w:p>
            <w:pPr>
              <w:pStyle w:val="TableParagraph"/>
              <w:spacing w:before="46"/>
              <w:ind w:left="420" w:right="246" w:hanging="178"/>
              <w:rPr>
                <w:sz w:val="14"/>
              </w:rPr>
            </w:pPr>
            <w:r>
              <w:rPr>
                <w:spacing w:val="-2"/>
                <w:sz w:val="14"/>
              </w:rPr>
              <w:t>процентни</w:t>
            </w:r>
            <w:r>
              <w:rPr>
                <w:spacing w:val="40"/>
                <w:sz w:val="14"/>
              </w:rPr>
              <w:t> </w:t>
            </w:r>
            <w:r>
              <w:rPr>
                <w:spacing w:val="-4"/>
                <w:sz w:val="14"/>
              </w:rPr>
              <w:t>поен</w:t>
            </w:r>
          </w:p>
        </w:tc>
      </w:tr>
      <w:tr>
        <w:trPr>
          <w:trHeight w:val="301" w:hRule="atLeast"/>
        </w:trPr>
        <w:tc>
          <w:tcPr>
            <w:tcW w:w="3183" w:type="dxa"/>
            <w:tcBorders>
              <w:top w:val="single" w:sz="4" w:space="0" w:color="000000"/>
              <w:right w:val="single" w:sz="4" w:space="0" w:color="000000"/>
            </w:tcBorders>
          </w:tcPr>
          <w:p>
            <w:pPr>
              <w:pStyle w:val="TableParagraph"/>
              <w:spacing w:before="34"/>
              <w:ind w:left="122"/>
              <w:rPr>
                <w:b/>
                <w:sz w:val="20"/>
              </w:rPr>
            </w:pPr>
            <w:r>
              <w:rPr>
                <w:b/>
                <w:sz w:val="20"/>
              </w:rPr>
              <w:t>Стопа</w:t>
            </w:r>
            <w:r>
              <w:rPr>
                <w:b/>
                <w:spacing w:val="-5"/>
                <w:sz w:val="20"/>
              </w:rPr>
              <w:t> </w:t>
            </w:r>
            <w:r>
              <w:rPr>
                <w:b/>
                <w:spacing w:val="-2"/>
                <w:sz w:val="20"/>
              </w:rPr>
              <w:t>активности</w:t>
            </w:r>
          </w:p>
        </w:tc>
        <w:tc>
          <w:tcPr>
            <w:tcW w:w="1141" w:type="dxa"/>
            <w:tcBorders>
              <w:top w:val="single" w:sz="4" w:space="0" w:color="000000"/>
              <w:left w:val="single" w:sz="4" w:space="0" w:color="000000"/>
            </w:tcBorders>
          </w:tcPr>
          <w:p>
            <w:pPr>
              <w:pStyle w:val="TableParagraph"/>
              <w:spacing w:before="29"/>
              <w:ind w:right="264"/>
              <w:jc w:val="right"/>
              <w:rPr>
                <w:sz w:val="20"/>
              </w:rPr>
            </w:pPr>
            <w:r>
              <w:rPr>
                <w:spacing w:val="-4"/>
                <w:sz w:val="20"/>
              </w:rPr>
              <w:t>63,6</w:t>
            </w:r>
          </w:p>
        </w:tc>
        <w:tc>
          <w:tcPr>
            <w:tcW w:w="982" w:type="dxa"/>
            <w:tcBorders>
              <w:top w:val="single" w:sz="4" w:space="0" w:color="000000"/>
            </w:tcBorders>
          </w:tcPr>
          <w:p>
            <w:pPr>
              <w:pStyle w:val="TableParagraph"/>
              <w:spacing w:before="29"/>
              <w:ind w:left="153" w:right="52"/>
              <w:jc w:val="center"/>
              <w:rPr>
                <w:sz w:val="20"/>
              </w:rPr>
            </w:pPr>
            <w:r>
              <w:rPr>
                <w:spacing w:val="-4"/>
                <w:sz w:val="20"/>
              </w:rPr>
              <w:t>65,6</w:t>
            </w:r>
          </w:p>
        </w:tc>
        <w:tc>
          <w:tcPr>
            <w:tcW w:w="982" w:type="dxa"/>
            <w:tcBorders>
              <w:top w:val="single" w:sz="4" w:space="0" w:color="000000"/>
            </w:tcBorders>
          </w:tcPr>
          <w:p>
            <w:pPr>
              <w:pStyle w:val="TableParagraph"/>
              <w:spacing w:before="29"/>
              <w:ind w:right="265"/>
              <w:jc w:val="right"/>
              <w:rPr>
                <w:sz w:val="20"/>
              </w:rPr>
            </w:pPr>
            <w:r>
              <w:rPr>
                <w:spacing w:val="-4"/>
                <w:sz w:val="20"/>
              </w:rPr>
              <w:t>66,7</w:t>
            </w:r>
          </w:p>
        </w:tc>
        <w:tc>
          <w:tcPr>
            <w:tcW w:w="984" w:type="dxa"/>
            <w:tcBorders>
              <w:top w:val="single" w:sz="4" w:space="0" w:color="000000"/>
            </w:tcBorders>
          </w:tcPr>
          <w:p>
            <w:pPr>
              <w:pStyle w:val="TableParagraph"/>
              <w:spacing w:before="29"/>
              <w:ind w:left="150" w:right="52"/>
              <w:jc w:val="center"/>
              <w:rPr>
                <w:sz w:val="20"/>
              </w:rPr>
            </w:pPr>
            <w:r>
              <w:rPr>
                <w:spacing w:val="-4"/>
                <w:sz w:val="20"/>
              </w:rPr>
              <w:t>67,8</w:t>
            </w:r>
          </w:p>
        </w:tc>
        <w:tc>
          <w:tcPr>
            <w:tcW w:w="824" w:type="dxa"/>
            <w:tcBorders>
              <w:top w:val="single" w:sz="4" w:space="0" w:color="000000"/>
              <w:right w:val="single" w:sz="4" w:space="0" w:color="000000"/>
            </w:tcBorders>
          </w:tcPr>
          <w:p>
            <w:pPr>
              <w:pStyle w:val="TableParagraph"/>
              <w:spacing w:before="29"/>
              <w:ind w:right="100"/>
              <w:jc w:val="right"/>
              <w:rPr>
                <w:sz w:val="20"/>
              </w:rPr>
            </w:pPr>
            <w:r>
              <w:rPr>
                <w:spacing w:val="-4"/>
                <w:sz w:val="20"/>
              </w:rPr>
              <w:t>68,1</w:t>
            </w:r>
          </w:p>
        </w:tc>
        <w:tc>
          <w:tcPr>
            <w:tcW w:w="1133" w:type="dxa"/>
            <w:tcBorders>
              <w:top w:val="single" w:sz="4" w:space="0" w:color="000000"/>
              <w:left w:val="single" w:sz="4" w:space="0" w:color="000000"/>
            </w:tcBorders>
          </w:tcPr>
          <w:p>
            <w:pPr>
              <w:pStyle w:val="TableParagraph"/>
              <w:spacing w:before="29"/>
              <w:ind w:right="104"/>
              <w:jc w:val="right"/>
              <w:rPr>
                <w:sz w:val="20"/>
              </w:rPr>
            </w:pPr>
            <w:r>
              <w:rPr>
                <w:spacing w:val="-5"/>
                <w:sz w:val="20"/>
              </w:rPr>
              <w:t>4,5</w:t>
            </w:r>
          </w:p>
        </w:tc>
      </w:tr>
      <w:tr>
        <w:trPr>
          <w:trHeight w:val="300" w:hRule="atLeast"/>
        </w:trPr>
        <w:tc>
          <w:tcPr>
            <w:tcW w:w="3183" w:type="dxa"/>
            <w:tcBorders>
              <w:right w:val="single" w:sz="4" w:space="0" w:color="000000"/>
            </w:tcBorders>
          </w:tcPr>
          <w:p>
            <w:pPr>
              <w:pStyle w:val="TableParagraph"/>
              <w:spacing w:before="33"/>
              <w:ind w:left="122"/>
              <w:rPr>
                <w:b/>
                <w:sz w:val="20"/>
              </w:rPr>
            </w:pPr>
            <w:r>
              <w:rPr>
                <w:b/>
                <w:sz w:val="20"/>
              </w:rPr>
              <w:t>Стопа</w:t>
            </w:r>
            <w:r>
              <w:rPr>
                <w:b/>
                <w:spacing w:val="-5"/>
                <w:sz w:val="20"/>
              </w:rPr>
              <w:t> </w:t>
            </w:r>
            <w:r>
              <w:rPr>
                <w:b/>
                <w:spacing w:val="-2"/>
                <w:sz w:val="20"/>
              </w:rPr>
              <w:t>запослености</w:t>
            </w:r>
          </w:p>
        </w:tc>
        <w:tc>
          <w:tcPr>
            <w:tcW w:w="1141" w:type="dxa"/>
            <w:tcBorders>
              <w:left w:val="single" w:sz="4" w:space="0" w:color="000000"/>
            </w:tcBorders>
          </w:tcPr>
          <w:p>
            <w:pPr>
              <w:pStyle w:val="TableParagraph"/>
              <w:spacing w:before="28"/>
              <w:ind w:right="264"/>
              <w:jc w:val="right"/>
              <w:rPr>
                <w:sz w:val="20"/>
              </w:rPr>
            </w:pPr>
            <w:r>
              <w:rPr>
                <w:spacing w:val="-4"/>
                <w:sz w:val="20"/>
              </w:rPr>
              <w:t>52,0</w:t>
            </w:r>
          </w:p>
        </w:tc>
        <w:tc>
          <w:tcPr>
            <w:tcW w:w="982" w:type="dxa"/>
          </w:tcPr>
          <w:p>
            <w:pPr>
              <w:pStyle w:val="TableParagraph"/>
              <w:spacing w:before="28"/>
              <w:ind w:left="153" w:right="52"/>
              <w:jc w:val="center"/>
              <w:rPr>
                <w:sz w:val="20"/>
              </w:rPr>
            </w:pPr>
            <w:r>
              <w:rPr>
                <w:spacing w:val="-4"/>
                <w:sz w:val="20"/>
              </w:rPr>
              <w:t>55,2</w:t>
            </w:r>
          </w:p>
        </w:tc>
        <w:tc>
          <w:tcPr>
            <w:tcW w:w="982" w:type="dxa"/>
          </w:tcPr>
          <w:p>
            <w:pPr>
              <w:pStyle w:val="TableParagraph"/>
              <w:spacing w:before="28"/>
              <w:ind w:right="265"/>
              <w:jc w:val="right"/>
              <w:rPr>
                <w:sz w:val="20"/>
              </w:rPr>
            </w:pPr>
            <w:r>
              <w:rPr>
                <w:spacing w:val="-4"/>
                <w:sz w:val="20"/>
              </w:rPr>
              <w:t>57,3</w:t>
            </w:r>
          </w:p>
        </w:tc>
        <w:tc>
          <w:tcPr>
            <w:tcW w:w="984" w:type="dxa"/>
          </w:tcPr>
          <w:p>
            <w:pPr>
              <w:pStyle w:val="TableParagraph"/>
              <w:spacing w:before="28"/>
              <w:ind w:left="150" w:right="52"/>
              <w:jc w:val="center"/>
              <w:rPr>
                <w:sz w:val="20"/>
              </w:rPr>
            </w:pPr>
            <w:r>
              <w:rPr>
                <w:spacing w:val="-4"/>
                <w:sz w:val="20"/>
              </w:rPr>
              <w:t>58,8</w:t>
            </w:r>
          </w:p>
        </w:tc>
        <w:tc>
          <w:tcPr>
            <w:tcW w:w="824" w:type="dxa"/>
            <w:tcBorders>
              <w:right w:val="single" w:sz="4" w:space="0" w:color="000000"/>
            </w:tcBorders>
          </w:tcPr>
          <w:p>
            <w:pPr>
              <w:pStyle w:val="TableParagraph"/>
              <w:spacing w:before="28"/>
              <w:ind w:right="100"/>
              <w:jc w:val="right"/>
              <w:rPr>
                <w:sz w:val="20"/>
              </w:rPr>
            </w:pPr>
            <w:r>
              <w:rPr>
                <w:spacing w:val="-4"/>
                <w:sz w:val="20"/>
              </w:rPr>
              <w:t>60,7</w:t>
            </w:r>
          </w:p>
        </w:tc>
        <w:tc>
          <w:tcPr>
            <w:tcW w:w="1133" w:type="dxa"/>
            <w:tcBorders>
              <w:left w:val="single" w:sz="4" w:space="0" w:color="000000"/>
            </w:tcBorders>
          </w:tcPr>
          <w:p>
            <w:pPr>
              <w:pStyle w:val="TableParagraph"/>
              <w:spacing w:before="28"/>
              <w:ind w:right="104"/>
              <w:jc w:val="right"/>
              <w:rPr>
                <w:sz w:val="20"/>
              </w:rPr>
            </w:pPr>
            <w:r>
              <w:rPr>
                <w:spacing w:val="-5"/>
                <w:sz w:val="20"/>
              </w:rPr>
              <w:t>8,7</w:t>
            </w:r>
          </w:p>
        </w:tc>
      </w:tr>
      <w:tr>
        <w:trPr>
          <w:trHeight w:val="300" w:hRule="atLeast"/>
        </w:trPr>
        <w:tc>
          <w:tcPr>
            <w:tcW w:w="3183" w:type="dxa"/>
            <w:tcBorders>
              <w:right w:val="single" w:sz="4" w:space="0" w:color="000000"/>
            </w:tcBorders>
          </w:tcPr>
          <w:p>
            <w:pPr>
              <w:pStyle w:val="TableParagraph"/>
              <w:spacing w:before="33"/>
              <w:ind w:left="122"/>
              <w:rPr>
                <w:b/>
                <w:sz w:val="20"/>
              </w:rPr>
            </w:pPr>
            <w:r>
              <w:rPr>
                <w:b/>
                <w:sz w:val="20"/>
              </w:rPr>
              <w:t>Стопа</w:t>
            </w:r>
            <w:r>
              <w:rPr>
                <w:b/>
                <w:spacing w:val="-5"/>
                <w:sz w:val="20"/>
              </w:rPr>
              <w:t> </w:t>
            </w:r>
            <w:r>
              <w:rPr>
                <w:b/>
                <w:spacing w:val="-2"/>
                <w:sz w:val="20"/>
              </w:rPr>
              <w:t>незапослености</w:t>
            </w:r>
          </w:p>
        </w:tc>
        <w:tc>
          <w:tcPr>
            <w:tcW w:w="1141" w:type="dxa"/>
            <w:tcBorders>
              <w:left w:val="single" w:sz="4" w:space="0" w:color="000000"/>
            </w:tcBorders>
          </w:tcPr>
          <w:p>
            <w:pPr>
              <w:pStyle w:val="TableParagraph"/>
              <w:spacing w:before="28"/>
              <w:ind w:right="264"/>
              <w:jc w:val="right"/>
              <w:rPr>
                <w:sz w:val="20"/>
              </w:rPr>
            </w:pPr>
            <w:r>
              <w:rPr>
                <w:spacing w:val="-4"/>
                <w:sz w:val="20"/>
              </w:rPr>
              <w:t>18,2</w:t>
            </w:r>
          </w:p>
        </w:tc>
        <w:tc>
          <w:tcPr>
            <w:tcW w:w="982" w:type="dxa"/>
          </w:tcPr>
          <w:p>
            <w:pPr>
              <w:pStyle w:val="TableParagraph"/>
              <w:spacing w:before="28"/>
              <w:ind w:left="153" w:right="52"/>
              <w:jc w:val="center"/>
              <w:rPr>
                <w:sz w:val="20"/>
              </w:rPr>
            </w:pPr>
            <w:r>
              <w:rPr>
                <w:spacing w:val="-4"/>
                <w:sz w:val="20"/>
              </w:rPr>
              <w:t>15,9</w:t>
            </w:r>
          </w:p>
        </w:tc>
        <w:tc>
          <w:tcPr>
            <w:tcW w:w="982" w:type="dxa"/>
          </w:tcPr>
          <w:p>
            <w:pPr>
              <w:pStyle w:val="TableParagraph"/>
              <w:spacing w:before="28"/>
              <w:ind w:right="265"/>
              <w:jc w:val="right"/>
              <w:rPr>
                <w:sz w:val="20"/>
              </w:rPr>
            </w:pPr>
            <w:r>
              <w:rPr>
                <w:spacing w:val="-4"/>
                <w:sz w:val="20"/>
              </w:rPr>
              <w:t>14,1</w:t>
            </w:r>
          </w:p>
        </w:tc>
        <w:tc>
          <w:tcPr>
            <w:tcW w:w="984" w:type="dxa"/>
          </w:tcPr>
          <w:p>
            <w:pPr>
              <w:pStyle w:val="TableParagraph"/>
              <w:spacing w:before="28"/>
              <w:ind w:left="150" w:right="52"/>
              <w:jc w:val="center"/>
              <w:rPr>
                <w:sz w:val="20"/>
              </w:rPr>
            </w:pPr>
            <w:r>
              <w:rPr>
                <w:spacing w:val="-4"/>
                <w:sz w:val="20"/>
              </w:rPr>
              <w:t>13,3</w:t>
            </w:r>
          </w:p>
        </w:tc>
        <w:tc>
          <w:tcPr>
            <w:tcW w:w="824" w:type="dxa"/>
            <w:tcBorders>
              <w:right w:val="single" w:sz="4" w:space="0" w:color="000000"/>
            </w:tcBorders>
          </w:tcPr>
          <w:p>
            <w:pPr>
              <w:pStyle w:val="TableParagraph"/>
              <w:spacing w:before="28"/>
              <w:ind w:right="100"/>
              <w:jc w:val="right"/>
              <w:rPr>
                <w:sz w:val="20"/>
              </w:rPr>
            </w:pPr>
            <w:r>
              <w:rPr>
                <w:spacing w:val="-4"/>
                <w:sz w:val="20"/>
              </w:rPr>
              <w:t>10,9</w:t>
            </w:r>
          </w:p>
        </w:tc>
        <w:tc>
          <w:tcPr>
            <w:tcW w:w="1133" w:type="dxa"/>
            <w:tcBorders>
              <w:left w:val="single" w:sz="4" w:space="0" w:color="000000"/>
            </w:tcBorders>
          </w:tcPr>
          <w:p>
            <w:pPr>
              <w:pStyle w:val="TableParagraph"/>
              <w:spacing w:before="28"/>
              <w:ind w:right="107"/>
              <w:jc w:val="right"/>
              <w:rPr>
                <w:sz w:val="20"/>
              </w:rPr>
            </w:pPr>
            <w:r>
              <w:rPr>
                <w:spacing w:val="-4"/>
                <w:sz w:val="20"/>
              </w:rPr>
              <w:t>-</w:t>
            </w:r>
            <w:r>
              <w:rPr>
                <w:spacing w:val="-5"/>
                <w:sz w:val="20"/>
              </w:rPr>
              <w:t>7,3</w:t>
            </w:r>
          </w:p>
        </w:tc>
      </w:tr>
      <w:tr>
        <w:trPr>
          <w:trHeight w:val="298" w:hRule="atLeast"/>
        </w:trPr>
        <w:tc>
          <w:tcPr>
            <w:tcW w:w="3183" w:type="dxa"/>
            <w:tcBorders>
              <w:bottom w:val="single" w:sz="4" w:space="0" w:color="000000"/>
              <w:right w:val="single" w:sz="4" w:space="0" w:color="000000"/>
            </w:tcBorders>
          </w:tcPr>
          <w:p>
            <w:pPr>
              <w:pStyle w:val="TableParagraph"/>
              <w:spacing w:before="33"/>
              <w:ind w:left="122"/>
              <w:rPr>
                <w:b/>
                <w:sz w:val="20"/>
              </w:rPr>
            </w:pPr>
            <w:r>
              <w:rPr>
                <w:b/>
                <w:sz w:val="20"/>
              </w:rPr>
              <w:t>Стопа</w:t>
            </w:r>
            <w:r>
              <w:rPr>
                <w:b/>
                <w:spacing w:val="-5"/>
                <w:sz w:val="20"/>
              </w:rPr>
              <w:t> </w:t>
            </w:r>
            <w:r>
              <w:rPr>
                <w:b/>
                <w:spacing w:val="-2"/>
                <w:sz w:val="20"/>
              </w:rPr>
              <w:t>неактивности</w:t>
            </w:r>
          </w:p>
        </w:tc>
        <w:tc>
          <w:tcPr>
            <w:tcW w:w="1141" w:type="dxa"/>
            <w:tcBorders>
              <w:left w:val="single" w:sz="4" w:space="0" w:color="000000"/>
              <w:bottom w:val="single" w:sz="4" w:space="0" w:color="000000"/>
            </w:tcBorders>
          </w:tcPr>
          <w:p>
            <w:pPr>
              <w:pStyle w:val="TableParagraph"/>
              <w:spacing w:before="28"/>
              <w:ind w:right="264"/>
              <w:jc w:val="right"/>
              <w:rPr>
                <w:sz w:val="20"/>
              </w:rPr>
            </w:pPr>
            <w:r>
              <w:rPr>
                <w:spacing w:val="-4"/>
                <w:sz w:val="20"/>
              </w:rPr>
              <w:t>36,4</w:t>
            </w:r>
          </w:p>
        </w:tc>
        <w:tc>
          <w:tcPr>
            <w:tcW w:w="982" w:type="dxa"/>
            <w:tcBorders>
              <w:bottom w:val="single" w:sz="4" w:space="0" w:color="000000"/>
            </w:tcBorders>
          </w:tcPr>
          <w:p>
            <w:pPr>
              <w:pStyle w:val="TableParagraph"/>
              <w:spacing w:before="28"/>
              <w:ind w:left="153" w:right="52"/>
              <w:jc w:val="center"/>
              <w:rPr>
                <w:sz w:val="20"/>
              </w:rPr>
            </w:pPr>
            <w:r>
              <w:rPr>
                <w:spacing w:val="-4"/>
                <w:sz w:val="20"/>
              </w:rPr>
              <w:t>34,4</w:t>
            </w:r>
          </w:p>
        </w:tc>
        <w:tc>
          <w:tcPr>
            <w:tcW w:w="982" w:type="dxa"/>
            <w:tcBorders>
              <w:bottom w:val="single" w:sz="4" w:space="0" w:color="000000"/>
            </w:tcBorders>
          </w:tcPr>
          <w:p>
            <w:pPr>
              <w:pStyle w:val="TableParagraph"/>
              <w:spacing w:before="28"/>
              <w:ind w:right="265"/>
              <w:jc w:val="right"/>
              <w:rPr>
                <w:sz w:val="20"/>
              </w:rPr>
            </w:pPr>
            <w:r>
              <w:rPr>
                <w:spacing w:val="-4"/>
                <w:sz w:val="20"/>
              </w:rPr>
              <w:t>33,3</w:t>
            </w:r>
          </w:p>
        </w:tc>
        <w:tc>
          <w:tcPr>
            <w:tcW w:w="984" w:type="dxa"/>
            <w:tcBorders>
              <w:bottom w:val="single" w:sz="4" w:space="0" w:color="000000"/>
            </w:tcBorders>
          </w:tcPr>
          <w:p>
            <w:pPr>
              <w:pStyle w:val="TableParagraph"/>
              <w:spacing w:before="28"/>
              <w:ind w:left="150" w:right="52"/>
              <w:jc w:val="center"/>
              <w:rPr>
                <w:sz w:val="20"/>
              </w:rPr>
            </w:pPr>
            <w:r>
              <w:rPr>
                <w:spacing w:val="-4"/>
                <w:sz w:val="20"/>
              </w:rPr>
              <w:t>32,2</w:t>
            </w:r>
          </w:p>
        </w:tc>
        <w:tc>
          <w:tcPr>
            <w:tcW w:w="824" w:type="dxa"/>
            <w:tcBorders>
              <w:bottom w:val="single" w:sz="4" w:space="0" w:color="000000"/>
              <w:right w:val="single" w:sz="4" w:space="0" w:color="000000"/>
            </w:tcBorders>
          </w:tcPr>
          <w:p>
            <w:pPr>
              <w:pStyle w:val="TableParagraph"/>
              <w:spacing w:before="28"/>
              <w:ind w:right="100"/>
              <w:jc w:val="right"/>
              <w:rPr>
                <w:sz w:val="20"/>
              </w:rPr>
            </w:pPr>
            <w:r>
              <w:rPr>
                <w:spacing w:val="-4"/>
                <w:sz w:val="20"/>
              </w:rPr>
              <w:t>31,9</w:t>
            </w:r>
          </w:p>
        </w:tc>
        <w:tc>
          <w:tcPr>
            <w:tcW w:w="1133" w:type="dxa"/>
            <w:tcBorders>
              <w:left w:val="single" w:sz="4" w:space="0" w:color="000000"/>
              <w:bottom w:val="single" w:sz="4" w:space="0" w:color="000000"/>
            </w:tcBorders>
          </w:tcPr>
          <w:p>
            <w:pPr>
              <w:pStyle w:val="TableParagraph"/>
              <w:spacing w:before="28"/>
              <w:ind w:right="107"/>
              <w:jc w:val="right"/>
              <w:rPr>
                <w:sz w:val="20"/>
              </w:rPr>
            </w:pPr>
            <w:r>
              <w:rPr>
                <w:spacing w:val="-4"/>
                <w:sz w:val="20"/>
              </w:rPr>
              <w:t>-</w:t>
            </w:r>
            <w:r>
              <w:rPr>
                <w:spacing w:val="-5"/>
                <w:sz w:val="20"/>
              </w:rPr>
              <w:t>4,5</w:t>
            </w:r>
          </w:p>
        </w:tc>
      </w:tr>
    </w:tbl>
    <w:p>
      <w:pPr>
        <w:spacing w:before="0"/>
        <w:ind w:left="360" w:right="0" w:firstLine="0"/>
        <w:jc w:val="both"/>
        <w:rPr>
          <w:i/>
          <w:sz w:val="20"/>
        </w:rPr>
      </w:pPr>
      <w:r>
        <w:rPr>
          <w:i/>
          <w:sz w:val="20"/>
        </w:rPr>
        <w:t>Извор:</w:t>
      </w:r>
      <w:r>
        <w:rPr>
          <w:i/>
          <w:spacing w:val="-6"/>
          <w:sz w:val="20"/>
        </w:rPr>
        <w:t> </w:t>
      </w:r>
      <w:r>
        <w:rPr>
          <w:i/>
          <w:sz w:val="20"/>
        </w:rPr>
        <w:t>АРС,</w:t>
      </w:r>
      <w:r>
        <w:rPr>
          <w:i/>
          <w:spacing w:val="-6"/>
          <w:sz w:val="20"/>
        </w:rPr>
        <w:t> </w:t>
      </w:r>
      <w:r>
        <w:rPr>
          <w:i/>
          <w:spacing w:val="-5"/>
          <w:sz w:val="20"/>
        </w:rPr>
        <w:t>РЗС</w:t>
      </w:r>
    </w:p>
    <w:p>
      <w:pPr>
        <w:pStyle w:val="BodyText"/>
        <w:spacing w:before="116"/>
        <w:ind w:right="714" w:firstLine="719"/>
      </w:pPr>
      <w:r>
        <w:rPr/>
        <w:t>Смањење неактивности становништва радног узраста основна је промена у структури</w:t>
      </w:r>
      <w:r>
        <w:rPr>
          <w:spacing w:val="-5"/>
        </w:rPr>
        <w:t> </w:t>
      </w:r>
      <w:r>
        <w:rPr/>
        <w:t>на</w:t>
      </w:r>
      <w:r>
        <w:rPr>
          <w:spacing w:val="-7"/>
        </w:rPr>
        <w:t> </w:t>
      </w:r>
      <w:r>
        <w:rPr/>
        <w:t>тржишту</w:t>
      </w:r>
      <w:r>
        <w:rPr>
          <w:spacing w:val="-6"/>
        </w:rPr>
        <w:t> </w:t>
      </w:r>
      <w:r>
        <w:rPr/>
        <w:t>рада</w:t>
      </w:r>
      <w:r>
        <w:rPr>
          <w:spacing w:val="-2"/>
        </w:rPr>
        <w:t> </w:t>
      </w:r>
      <w:r>
        <w:rPr/>
        <w:t>у</w:t>
      </w:r>
      <w:r>
        <w:rPr>
          <w:spacing w:val="-10"/>
        </w:rPr>
        <w:t> </w:t>
      </w:r>
      <w:r>
        <w:rPr/>
        <w:t>Србији</w:t>
      </w:r>
      <w:r>
        <w:rPr>
          <w:spacing w:val="-4"/>
        </w:rPr>
        <w:t> </w:t>
      </w:r>
      <w:r>
        <w:rPr/>
        <w:t>која</w:t>
      </w:r>
      <w:r>
        <w:rPr>
          <w:spacing w:val="-6"/>
        </w:rPr>
        <w:t> </w:t>
      </w:r>
      <w:r>
        <w:rPr/>
        <w:t>је</w:t>
      </w:r>
      <w:r>
        <w:rPr>
          <w:spacing w:val="-6"/>
        </w:rPr>
        <w:t> </w:t>
      </w:r>
      <w:r>
        <w:rPr/>
        <w:t>карактеристична</w:t>
      </w:r>
      <w:r>
        <w:rPr>
          <w:spacing w:val="-1"/>
        </w:rPr>
        <w:t> </w:t>
      </w:r>
      <w:r>
        <w:rPr/>
        <w:t>за</w:t>
      </w:r>
      <w:r>
        <w:rPr>
          <w:spacing w:val="-7"/>
        </w:rPr>
        <w:t> </w:t>
      </w:r>
      <w:r>
        <w:rPr/>
        <w:t>период</w:t>
      </w:r>
      <w:r>
        <w:rPr>
          <w:spacing w:val="-5"/>
        </w:rPr>
        <w:t> </w:t>
      </w:r>
      <w:r>
        <w:rPr/>
        <w:t>2015.-2019.</w:t>
      </w:r>
      <w:r>
        <w:rPr>
          <w:spacing w:val="-5"/>
        </w:rPr>
        <w:t> </w:t>
      </w:r>
      <w:r>
        <w:rPr/>
        <w:t>године. Смањење</w:t>
      </w:r>
      <w:r>
        <w:rPr>
          <w:spacing w:val="-2"/>
        </w:rPr>
        <w:t> </w:t>
      </w:r>
      <w:r>
        <w:rPr/>
        <w:t>је у</w:t>
      </w:r>
      <w:r>
        <w:rPr>
          <w:spacing w:val="-6"/>
        </w:rPr>
        <w:t> </w:t>
      </w:r>
      <w:r>
        <w:rPr/>
        <w:t>наведеном</w:t>
      </w:r>
      <w:r>
        <w:rPr>
          <w:spacing w:val="-2"/>
        </w:rPr>
        <w:t> </w:t>
      </w:r>
      <w:r>
        <w:rPr/>
        <w:t>периоду</w:t>
      </w:r>
      <w:r>
        <w:rPr>
          <w:spacing w:val="-9"/>
        </w:rPr>
        <w:t> </w:t>
      </w:r>
      <w:r>
        <w:rPr/>
        <w:t>износило</w:t>
      </w:r>
      <w:r>
        <w:rPr>
          <w:spacing w:val="-1"/>
        </w:rPr>
        <w:t> </w:t>
      </w:r>
      <w:r>
        <w:rPr/>
        <w:t>295</w:t>
      </w:r>
      <w:r>
        <w:rPr>
          <w:spacing w:val="-1"/>
        </w:rPr>
        <w:t> </w:t>
      </w:r>
      <w:r>
        <w:rPr/>
        <w:t>хиљада</w:t>
      </w:r>
      <w:r>
        <w:rPr>
          <w:spacing w:val="-2"/>
        </w:rPr>
        <w:t> </w:t>
      </w:r>
      <w:r>
        <w:rPr/>
        <w:t>лица (17%),</w:t>
      </w:r>
      <w:r>
        <w:rPr>
          <w:spacing w:val="-1"/>
        </w:rPr>
        <w:t> </w:t>
      </w:r>
      <w:r>
        <w:rPr/>
        <w:t>тако</w:t>
      </w:r>
      <w:r>
        <w:rPr>
          <w:spacing w:val="-1"/>
        </w:rPr>
        <w:t> </w:t>
      </w:r>
      <w:r>
        <w:rPr/>
        <w:t>да</w:t>
      </w:r>
      <w:r>
        <w:rPr>
          <w:spacing w:val="-1"/>
        </w:rPr>
        <w:t> </w:t>
      </w:r>
      <w:r>
        <w:rPr/>
        <w:t>је</w:t>
      </w:r>
      <w:r>
        <w:rPr>
          <w:spacing w:val="-2"/>
        </w:rPr>
        <w:t> </w:t>
      </w:r>
      <w:r>
        <w:rPr/>
        <w:t>2019.</w:t>
      </w:r>
      <w:r>
        <w:rPr>
          <w:spacing w:val="-1"/>
        </w:rPr>
        <w:t> </w:t>
      </w:r>
      <w:r>
        <w:rPr/>
        <w:t>године око</w:t>
      </w:r>
      <w:r>
        <w:rPr>
          <w:spacing w:val="-3"/>
        </w:rPr>
        <w:t> </w:t>
      </w:r>
      <w:r>
        <w:rPr/>
        <w:t>1,4</w:t>
      </w:r>
      <w:r>
        <w:rPr>
          <w:spacing w:val="-3"/>
        </w:rPr>
        <w:t> </w:t>
      </w:r>
      <w:r>
        <w:rPr/>
        <w:t>милиона</w:t>
      </w:r>
      <w:r>
        <w:rPr>
          <w:spacing w:val="-4"/>
        </w:rPr>
        <w:t> </w:t>
      </w:r>
      <w:r>
        <w:rPr/>
        <w:t>лица</w:t>
      </w:r>
      <w:r>
        <w:rPr>
          <w:spacing w:val="-4"/>
        </w:rPr>
        <w:t> </w:t>
      </w:r>
      <w:r>
        <w:rPr/>
        <w:t>било</w:t>
      </w:r>
      <w:r>
        <w:rPr>
          <w:spacing w:val="-2"/>
        </w:rPr>
        <w:t> </w:t>
      </w:r>
      <w:r>
        <w:rPr/>
        <w:t>неактивно</w:t>
      </w:r>
      <w:r>
        <w:rPr>
          <w:spacing w:val="-6"/>
        </w:rPr>
        <w:t> </w:t>
      </w:r>
      <w:r>
        <w:rPr/>
        <w:t>на</w:t>
      </w:r>
      <w:r>
        <w:rPr>
          <w:spacing w:val="-4"/>
        </w:rPr>
        <w:t> </w:t>
      </w:r>
      <w:r>
        <w:rPr/>
        <w:t>тржишту</w:t>
      </w:r>
      <w:r>
        <w:rPr>
          <w:spacing w:val="-8"/>
        </w:rPr>
        <w:t> </w:t>
      </w:r>
      <w:r>
        <w:rPr/>
        <w:t>рада.</w:t>
      </w:r>
      <w:r>
        <w:rPr>
          <w:spacing w:val="-3"/>
        </w:rPr>
        <w:t> </w:t>
      </w:r>
      <w:r>
        <w:rPr/>
        <w:t>Стопа</w:t>
      </w:r>
      <w:r>
        <w:rPr>
          <w:spacing w:val="-4"/>
        </w:rPr>
        <w:t> </w:t>
      </w:r>
      <w:r>
        <w:rPr/>
        <w:t>неактивности</w:t>
      </w:r>
      <w:r>
        <w:rPr>
          <w:spacing w:val="-1"/>
        </w:rPr>
        <w:t> </w:t>
      </w:r>
      <w:r>
        <w:rPr/>
        <w:t>становништва радног узраста износила је 31,9% и смањена је за 4,5 п.п. у односу на 2015. годину.</w:t>
      </w:r>
    </w:p>
    <w:p>
      <w:pPr>
        <w:pStyle w:val="BodyText"/>
        <w:spacing w:before="120"/>
        <w:ind w:right="714" w:firstLine="719"/>
      </w:pPr>
      <w:r>
        <w:rPr/>
        <w:t>Број</w:t>
      </w:r>
      <w:r>
        <w:rPr>
          <w:spacing w:val="-3"/>
        </w:rPr>
        <w:t> </w:t>
      </w:r>
      <w:r>
        <w:rPr/>
        <w:t>aктивних</w:t>
      </w:r>
      <w:r>
        <w:rPr>
          <w:spacing w:val="-1"/>
        </w:rPr>
        <w:t> </w:t>
      </w:r>
      <w:r>
        <w:rPr/>
        <w:t>становника</w:t>
      </w:r>
      <w:r>
        <w:rPr>
          <w:spacing w:val="-4"/>
        </w:rPr>
        <w:t> </w:t>
      </w:r>
      <w:r>
        <w:rPr/>
        <w:t>радног</w:t>
      </w:r>
      <w:r>
        <w:rPr>
          <w:spacing w:val="-1"/>
        </w:rPr>
        <w:t> </w:t>
      </w:r>
      <w:r>
        <w:rPr/>
        <w:t>узраста</w:t>
      </w:r>
      <w:r>
        <w:rPr>
          <w:spacing w:val="-2"/>
        </w:rPr>
        <w:t> </w:t>
      </w:r>
      <w:r>
        <w:rPr/>
        <w:t>порастао</w:t>
      </w:r>
      <w:r>
        <w:rPr>
          <w:spacing w:val="-3"/>
        </w:rPr>
        <w:t> </w:t>
      </w:r>
      <w:r>
        <w:rPr/>
        <w:t>је</w:t>
      </w:r>
      <w:r>
        <w:rPr>
          <w:spacing w:val="-4"/>
        </w:rPr>
        <w:t> </w:t>
      </w:r>
      <w:r>
        <w:rPr/>
        <w:t>за 46</w:t>
      </w:r>
      <w:r>
        <w:rPr>
          <w:spacing w:val="-3"/>
        </w:rPr>
        <w:t> </w:t>
      </w:r>
      <w:r>
        <w:rPr/>
        <w:t>хиљада</w:t>
      </w:r>
      <w:r>
        <w:rPr>
          <w:spacing w:val="-3"/>
        </w:rPr>
        <w:t> </w:t>
      </w:r>
      <w:r>
        <w:rPr/>
        <w:t>(1,5%) у</w:t>
      </w:r>
      <w:r>
        <w:rPr>
          <w:spacing w:val="-8"/>
        </w:rPr>
        <w:t> </w:t>
      </w:r>
      <w:r>
        <w:rPr/>
        <w:t>периоду 2015-2019. године, али с обзиром на пад укупног становништва радног узраста (за 249 хиљада или 5,2%), то је у истом периоду довело до пораста стопе активности за 4,5 п.п. Стопа активности становништва радног узраста износила је 68,1% у 2019. години, што указује да је око 3,1 милион лица радног узраста било активно на тржишту рада.</w:t>
      </w:r>
    </w:p>
    <w:p>
      <w:pPr>
        <w:pStyle w:val="BodyText"/>
        <w:spacing w:before="120"/>
        <w:ind w:right="713" w:firstLine="719"/>
      </w:pPr>
      <w:r>
        <w:rPr/>
        <w:t>Запосленост становништва радног узраста константно расте, па је број запослених, који је износио више од 2,7 милиона у 2019. години, повећан за 262 хиљаде (10,6%) у периоду 2015-2019. године. Стопа запослености становништва радног узраста износила је 60,7% у 2019. години, што представља повећање од 8,7 п.п. у односу на 2015. годину.</w:t>
      </w:r>
    </w:p>
    <w:p>
      <w:pPr>
        <w:pStyle w:val="BodyText"/>
        <w:spacing w:before="120"/>
        <w:ind w:right="713" w:firstLine="719"/>
      </w:pPr>
      <w:r>
        <w:rPr/>
        <w:t>Незапосленост наставља да се смањује. Број незапослених лица радног узраста оцењен</w:t>
      </w:r>
      <w:r>
        <w:rPr>
          <w:spacing w:val="-2"/>
        </w:rPr>
        <w:t> </w:t>
      </w:r>
      <w:r>
        <w:rPr/>
        <w:t>је</w:t>
      </w:r>
      <w:r>
        <w:rPr>
          <w:spacing w:val="-2"/>
        </w:rPr>
        <w:t> </w:t>
      </w:r>
      <w:r>
        <w:rPr/>
        <w:t>на</w:t>
      </w:r>
      <w:r>
        <w:rPr>
          <w:spacing w:val="-3"/>
        </w:rPr>
        <w:t> </w:t>
      </w:r>
      <w:r>
        <w:rPr/>
        <w:t>око</w:t>
      </w:r>
      <w:r>
        <w:rPr>
          <w:spacing w:val="-5"/>
        </w:rPr>
        <w:t> </w:t>
      </w:r>
      <w:r>
        <w:rPr/>
        <w:t>335</w:t>
      </w:r>
      <w:r>
        <w:rPr>
          <w:spacing w:val="-5"/>
        </w:rPr>
        <w:t> </w:t>
      </w:r>
      <w:r>
        <w:rPr/>
        <w:t>хиљада</w:t>
      </w:r>
      <w:r>
        <w:rPr>
          <w:spacing w:val="-1"/>
        </w:rPr>
        <w:t> </w:t>
      </w:r>
      <w:r>
        <w:rPr/>
        <w:t>у</w:t>
      </w:r>
      <w:r>
        <w:rPr>
          <w:spacing w:val="-7"/>
        </w:rPr>
        <w:t> </w:t>
      </w:r>
      <w:r>
        <w:rPr/>
        <w:t>2019. години,</w:t>
      </w:r>
      <w:r>
        <w:rPr>
          <w:spacing w:val="-5"/>
        </w:rPr>
        <w:t> </w:t>
      </w:r>
      <w:r>
        <w:rPr/>
        <w:t>што</w:t>
      </w:r>
      <w:r>
        <w:rPr>
          <w:spacing w:val="-2"/>
        </w:rPr>
        <w:t> </w:t>
      </w:r>
      <w:r>
        <w:rPr/>
        <w:t>је</w:t>
      </w:r>
      <w:r>
        <w:rPr>
          <w:spacing w:val="-3"/>
        </w:rPr>
        <w:t> </w:t>
      </w:r>
      <w:r>
        <w:rPr/>
        <w:t>смањење</w:t>
      </w:r>
      <w:r>
        <w:rPr>
          <w:spacing w:val="-3"/>
        </w:rPr>
        <w:t> </w:t>
      </w:r>
      <w:r>
        <w:rPr/>
        <w:t>за</w:t>
      </w:r>
      <w:r>
        <w:rPr>
          <w:spacing w:val="-3"/>
        </w:rPr>
        <w:t> </w:t>
      </w:r>
      <w:r>
        <w:rPr/>
        <w:t>216</w:t>
      </w:r>
      <w:r>
        <w:rPr>
          <w:spacing w:val="-5"/>
        </w:rPr>
        <w:t> </w:t>
      </w:r>
      <w:r>
        <w:rPr/>
        <w:t>хиљада</w:t>
      </w:r>
      <w:r>
        <w:rPr>
          <w:spacing w:val="-3"/>
        </w:rPr>
        <w:t> </w:t>
      </w:r>
      <w:r>
        <w:rPr/>
        <w:t>(39%)</w:t>
      </w:r>
      <w:r>
        <w:rPr>
          <w:spacing w:val="-1"/>
        </w:rPr>
        <w:t> </w:t>
      </w:r>
      <w:r>
        <w:rPr/>
        <w:t>у</w:t>
      </w:r>
      <w:r>
        <w:rPr>
          <w:spacing w:val="-7"/>
        </w:rPr>
        <w:t> </w:t>
      </w:r>
      <w:r>
        <w:rPr/>
        <w:t>односу на 2015. годину. Захваљујући смањењу броја незапослених и повећању броја запослених, стопа незапослености у 2019. години износила је 10,9% и била је нижа за 7,3 п.п. у</w:t>
      </w:r>
      <w:r>
        <w:rPr>
          <w:spacing w:val="-2"/>
        </w:rPr>
        <w:t> </w:t>
      </w:r>
      <w:r>
        <w:rPr/>
        <w:t>односу на 2015. годину.</w:t>
      </w:r>
    </w:p>
    <w:p>
      <w:pPr>
        <w:spacing w:before="121"/>
        <w:ind w:left="360" w:right="0" w:firstLine="0"/>
        <w:jc w:val="both"/>
        <w:rPr>
          <w:i/>
          <w:sz w:val="24"/>
        </w:rPr>
      </w:pPr>
      <w:r>
        <w:rPr>
          <w:i/>
          <w:sz w:val="24"/>
        </w:rPr>
        <w:t>Кључни</w:t>
      </w:r>
      <w:r>
        <w:rPr>
          <w:i/>
          <w:spacing w:val="-3"/>
          <w:sz w:val="24"/>
        </w:rPr>
        <w:t> </w:t>
      </w:r>
      <w:r>
        <w:rPr>
          <w:i/>
          <w:sz w:val="24"/>
        </w:rPr>
        <w:t>показатељи</w:t>
      </w:r>
      <w:r>
        <w:rPr>
          <w:i/>
          <w:spacing w:val="-1"/>
          <w:sz w:val="24"/>
        </w:rPr>
        <w:t> </w:t>
      </w:r>
      <w:r>
        <w:rPr>
          <w:i/>
          <w:sz w:val="24"/>
        </w:rPr>
        <w:t>тржишта</w:t>
      </w:r>
      <w:r>
        <w:rPr>
          <w:i/>
          <w:spacing w:val="-1"/>
          <w:sz w:val="24"/>
        </w:rPr>
        <w:t> </w:t>
      </w:r>
      <w:r>
        <w:rPr>
          <w:i/>
          <w:sz w:val="24"/>
        </w:rPr>
        <w:t>рада</w:t>
      </w:r>
      <w:r>
        <w:rPr>
          <w:i/>
          <w:spacing w:val="-2"/>
          <w:sz w:val="24"/>
        </w:rPr>
        <w:t> </w:t>
      </w:r>
      <w:r>
        <w:rPr>
          <w:i/>
          <w:sz w:val="24"/>
        </w:rPr>
        <w:t>у</w:t>
      </w:r>
      <w:r>
        <w:rPr>
          <w:i/>
          <w:spacing w:val="-1"/>
          <w:sz w:val="24"/>
        </w:rPr>
        <w:t> </w:t>
      </w:r>
      <w:r>
        <w:rPr>
          <w:i/>
          <w:sz w:val="24"/>
        </w:rPr>
        <w:t>регионалној</w:t>
      </w:r>
      <w:r>
        <w:rPr>
          <w:i/>
          <w:spacing w:val="-1"/>
          <w:sz w:val="24"/>
        </w:rPr>
        <w:t> </w:t>
      </w:r>
      <w:r>
        <w:rPr>
          <w:i/>
          <w:spacing w:val="-2"/>
          <w:sz w:val="24"/>
        </w:rPr>
        <w:t>перспективи</w:t>
      </w:r>
    </w:p>
    <w:p>
      <w:pPr>
        <w:pStyle w:val="BodyText"/>
        <w:spacing w:before="120"/>
        <w:ind w:right="717" w:firstLine="719"/>
      </w:pPr>
      <w:r>
        <w:rPr/>
        <w:t>Значајне регионалне разлике у погледу економске развијености очитавају се и у показатељима тржишта рада у Србији, који су најповољнији у Београдском региону, а најмање повољни у Региону Јужне и Источне Србије.</w:t>
      </w:r>
    </w:p>
    <w:p>
      <w:pPr>
        <w:pStyle w:val="BodyText"/>
        <w:spacing w:before="120"/>
        <w:ind w:right="712" w:firstLine="719"/>
      </w:pPr>
      <w:r>
        <w:rPr/>
        <w:t>Регионалне разлике су највише изражене код показатеља запослености и незапослености. Стопа запослености становништва радног узраста у 2019. години је била највиша у Београдском региону (64,9%), нешто је нижа у Региону Шумадије и Западне Србије (60,7%) и у Региону Војводине (59,8%), док је најнижа у Региону Јужне и Источне</w:t>
      </w:r>
    </w:p>
    <w:p>
      <w:pPr>
        <w:pStyle w:val="BodyText"/>
        <w:spacing w:after="0"/>
        <w:sectPr>
          <w:pgSz w:w="12240" w:h="15840"/>
          <w:pgMar w:header="0" w:footer="702" w:top="1360" w:bottom="900" w:left="1080" w:right="720"/>
        </w:sectPr>
      </w:pPr>
    </w:p>
    <w:p>
      <w:pPr>
        <w:pStyle w:val="BodyText"/>
        <w:spacing w:before="72"/>
        <w:ind w:right="711"/>
      </w:pPr>
      <w:r>
        <w:rPr/>
        <w:t>Србије (56,9%). Стопа незапослености је најнижа у Београдском региону</w:t>
      </w:r>
      <w:r>
        <w:rPr>
          <w:spacing w:val="-5"/>
        </w:rPr>
        <w:t> </w:t>
      </w:r>
      <w:r>
        <w:rPr/>
        <w:t>(8,4%) и Региону Војводине</w:t>
      </w:r>
      <w:r>
        <w:rPr>
          <w:spacing w:val="-7"/>
        </w:rPr>
        <w:t> </w:t>
      </w:r>
      <w:r>
        <w:rPr/>
        <w:t>(9,2%),</w:t>
      </w:r>
      <w:r>
        <w:rPr>
          <w:spacing w:val="-6"/>
        </w:rPr>
        <w:t> </w:t>
      </w:r>
      <w:r>
        <w:rPr/>
        <w:t>док</w:t>
      </w:r>
      <w:r>
        <w:rPr>
          <w:spacing w:val="-5"/>
        </w:rPr>
        <w:t> </w:t>
      </w:r>
      <w:r>
        <w:rPr/>
        <w:t>је</w:t>
      </w:r>
      <w:r>
        <w:rPr>
          <w:spacing w:val="-7"/>
        </w:rPr>
        <w:t> </w:t>
      </w:r>
      <w:r>
        <w:rPr/>
        <w:t>проблем</w:t>
      </w:r>
      <w:r>
        <w:rPr>
          <w:spacing w:val="-7"/>
        </w:rPr>
        <w:t> </w:t>
      </w:r>
      <w:r>
        <w:rPr/>
        <w:t>незапослености</w:t>
      </w:r>
      <w:r>
        <w:rPr>
          <w:spacing w:val="-4"/>
        </w:rPr>
        <w:t> </w:t>
      </w:r>
      <w:r>
        <w:rPr/>
        <w:t>нешто</w:t>
      </w:r>
      <w:r>
        <w:rPr>
          <w:spacing w:val="-8"/>
        </w:rPr>
        <w:t> </w:t>
      </w:r>
      <w:r>
        <w:rPr/>
        <w:t>израженији</w:t>
      </w:r>
      <w:r>
        <w:rPr>
          <w:spacing w:val="-4"/>
        </w:rPr>
        <w:t> </w:t>
      </w:r>
      <w:r>
        <w:rPr/>
        <w:t>у</w:t>
      </w:r>
      <w:r>
        <w:rPr>
          <w:spacing w:val="-7"/>
        </w:rPr>
        <w:t> </w:t>
      </w:r>
      <w:r>
        <w:rPr/>
        <w:t>Региону</w:t>
      </w:r>
      <w:r>
        <w:rPr>
          <w:spacing w:val="-12"/>
        </w:rPr>
        <w:t> </w:t>
      </w:r>
      <w:r>
        <w:rPr/>
        <w:t>Шумадије</w:t>
      </w:r>
      <w:r>
        <w:rPr>
          <w:spacing w:val="-7"/>
        </w:rPr>
        <w:t> </w:t>
      </w:r>
      <w:r>
        <w:rPr/>
        <w:t>и Западне Србије (12,5%), и нарочито у Региону Јужне и Источне Србије (14,1%).</w:t>
      </w:r>
    </w:p>
    <w:p>
      <w:pPr>
        <w:pStyle w:val="BodyText"/>
        <w:spacing w:before="242"/>
        <w:ind w:left="0"/>
        <w:jc w:val="left"/>
      </w:pPr>
    </w:p>
    <w:p>
      <w:pPr>
        <w:pStyle w:val="BodyText"/>
        <w:tabs>
          <w:tab w:pos="1848" w:val="left" w:leader="none"/>
        </w:tabs>
        <w:spacing w:line="264" w:lineRule="auto" w:before="1"/>
        <w:ind w:left="3665" w:right="1022" w:hanging="3008"/>
        <w:jc w:val="left"/>
      </w:pPr>
      <w:r>
        <w:rPr/>
        <w:t>Табела 3.</w:t>
        <w:tab/>
        <w:t>Стопе</w:t>
      </w:r>
      <w:r>
        <w:rPr>
          <w:spacing w:val="-6"/>
        </w:rPr>
        <w:t> </w:t>
      </w:r>
      <w:r>
        <w:rPr/>
        <w:t>запослености</w:t>
      </w:r>
      <w:r>
        <w:rPr>
          <w:spacing w:val="-6"/>
        </w:rPr>
        <w:t> </w:t>
      </w:r>
      <w:r>
        <w:rPr/>
        <w:t>и</w:t>
      </w:r>
      <w:r>
        <w:rPr>
          <w:spacing w:val="-5"/>
        </w:rPr>
        <w:t> </w:t>
      </w:r>
      <w:r>
        <w:rPr/>
        <w:t>незапослености</w:t>
      </w:r>
      <w:r>
        <w:rPr>
          <w:spacing w:val="-4"/>
        </w:rPr>
        <w:t> </w:t>
      </w:r>
      <w:r>
        <w:rPr/>
        <w:t>за</w:t>
      </w:r>
      <w:r>
        <w:rPr>
          <w:spacing w:val="-6"/>
        </w:rPr>
        <w:t> </w:t>
      </w:r>
      <w:r>
        <w:rPr/>
        <w:t>становништво</w:t>
      </w:r>
      <w:r>
        <w:rPr>
          <w:spacing w:val="-5"/>
        </w:rPr>
        <w:t> </w:t>
      </w:r>
      <w:r>
        <w:rPr/>
        <w:t>радног</w:t>
      </w:r>
      <w:r>
        <w:rPr>
          <w:spacing w:val="-3"/>
        </w:rPr>
        <w:t> </w:t>
      </w:r>
      <w:r>
        <w:rPr/>
        <w:t>узраста</w:t>
      </w:r>
      <w:r>
        <w:rPr>
          <w:spacing w:val="-6"/>
        </w:rPr>
        <w:t> </w:t>
      </w:r>
      <w:r>
        <w:rPr/>
        <w:t>по регионима, у %, 2015-2019</w:t>
      </w:r>
    </w:p>
    <w:p>
      <w:pPr>
        <w:pStyle w:val="BodyText"/>
        <w:spacing w:before="10"/>
        <w:ind w:left="0"/>
        <w:jc w:val="left"/>
        <w:rPr>
          <w:sz w:val="10"/>
        </w:r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0"/>
        <w:gridCol w:w="1165"/>
        <w:gridCol w:w="1163"/>
        <w:gridCol w:w="1163"/>
        <w:gridCol w:w="1163"/>
        <w:gridCol w:w="1162"/>
      </w:tblGrid>
      <w:tr>
        <w:trPr>
          <w:trHeight w:val="299" w:hRule="atLeast"/>
        </w:trPr>
        <w:tc>
          <w:tcPr>
            <w:tcW w:w="3560" w:type="dxa"/>
            <w:vMerge w:val="restart"/>
            <w:tcBorders>
              <w:top w:val="single" w:sz="4" w:space="0" w:color="000000"/>
              <w:bottom w:val="single" w:sz="4" w:space="0" w:color="000000"/>
              <w:right w:val="single" w:sz="4" w:space="0" w:color="000000"/>
            </w:tcBorders>
          </w:tcPr>
          <w:p>
            <w:pPr>
              <w:pStyle w:val="TableParagraph"/>
              <w:spacing w:before="13"/>
              <w:ind w:left="122"/>
              <w:rPr>
                <w:rFonts w:ascii="Calibri" w:hAnsi="Calibri"/>
                <w:sz w:val="22"/>
              </w:rPr>
            </w:pPr>
            <w:r>
              <w:rPr>
                <w:b/>
                <w:spacing w:val="-2"/>
                <w:sz w:val="20"/>
              </w:rPr>
              <w:t>Региони</w:t>
            </w:r>
            <w:r>
              <w:rPr>
                <w:rFonts w:ascii="Calibri" w:hAnsi="Calibri"/>
                <w:spacing w:val="-2"/>
                <w:sz w:val="22"/>
              </w:rPr>
              <w:t>*</w:t>
            </w:r>
          </w:p>
        </w:tc>
        <w:tc>
          <w:tcPr>
            <w:tcW w:w="1165" w:type="dxa"/>
            <w:tcBorders>
              <w:top w:val="single" w:sz="4" w:space="0" w:color="000000"/>
              <w:left w:val="single" w:sz="4" w:space="0" w:color="000000"/>
              <w:bottom w:val="single" w:sz="4" w:space="0" w:color="000000"/>
            </w:tcBorders>
          </w:tcPr>
          <w:p>
            <w:pPr>
              <w:pStyle w:val="TableParagraph"/>
              <w:spacing w:before="34"/>
              <w:ind w:left="4" w:right="6"/>
              <w:jc w:val="center"/>
              <w:rPr>
                <w:b/>
                <w:sz w:val="20"/>
              </w:rPr>
            </w:pPr>
            <w:r>
              <w:rPr>
                <w:b/>
                <w:spacing w:val="-4"/>
                <w:sz w:val="20"/>
              </w:rPr>
              <w:t>2015</w:t>
            </w:r>
          </w:p>
        </w:tc>
        <w:tc>
          <w:tcPr>
            <w:tcW w:w="1163" w:type="dxa"/>
            <w:tcBorders>
              <w:top w:val="single" w:sz="4" w:space="0" w:color="000000"/>
              <w:bottom w:val="single" w:sz="4" w:space="0" w:color="000000"/>
            </w:tcBorders>
          </w:tcPr>
          <w:p>
            <w:pPr>
              <w:pStyle w:val="TableParagraph"/>
              <w:spacing w:before="34"/>
              <w:ind w:left="3" w:right="3"/>
              <w:jc w:val="center"/>
              <w:rPr>
                <w:b/>
                <w:sz w:val="20"/>
              </w:rPr>
            </w:pPr>
            <w:r>
              <w:rPr>
                <w:b/>
                <w:spacing w:val="-4"/>
                <w:sz w:val="20"/>
              </w:rPr>
              <w:t>2016</w:t>
            </w:r>
          </w:p>
        </w:tc>
        <w:tc>
          <w:tcPr>
            <w:tcW w:w="1163" w:type="dxa"/>
            <w:tcBorders>
              <w:top w:val="single" w:sz="4" w:space="0" w:color="000000"/>
              <w:bottom w:val="single" w:sz="4" w:space="0" w:color="000000"/>
            </w:tcBorders>
          </w:tcPr>
          <w:p>
            <w:pPr>
              <w:pStyle w:val="TableParagraph"/>
              <w:spacing w:before="34"/>
              <w:ind w:left="2" w:right="3"/>
              <w:jc w:val="center"/>
              <w:rPr>
                <w:b/>
                <w:sz w:val="20"/>
              </w:rPr>
            </w:pPr>
            <w:r>
              <w:rPr>
                <w:b/>
                <w:spacing w:val="-4"/>
                <w:sz w:val="20"/>
              </w:rPr>
              <w:t>2017</w:t>
            </w:r>
          </w:p>
        </w:tc>
        <w:tc>
          <w:tcPr>
            <w:tcW w:w="1163" w:type="dxa"/>
            <w:tcBorders>
              <w:top w:val="single" w:sz="4" w:space="0" w:color="000000"/>
              <w:bottom w:val="single" w:sz="4" w:space="0" w:color="000000"/>
            </w:tcBorders>
          </w:tcPr>
          <w:p>
            <w:pPr>
              <w:pStyle w:val="TableParagraph"/>
              <w:spacing w:before="34"/>
              <w:ind w:left="3" w:right="3"/>
              <w:jc w:val="center"/>
              <w:rPr>
                <w:b/>
                <w:sz w:val="20"/>
              </w:rPr>
            </w:pPr>
            <w:r>
              <w:rPr>
                <w:b/>
                <w:spacing w:val="-4"/>
                <w:sz w:val="20"/>
              </w:rPr>
              <w:t>2018</w:t>
            </w:r>
          </w:p>
        </w:tc>
        <w:tc>
          <w:tcPr>
            <w:tcW w:w="1162" w:type="dxa"/>
            <w:tcBorders>
              <w:top w:val="single" w:sz="4" w:space="0" w:color="000000"/>
              <w:bottom w:val="single" w:sz="4" w:space="0" w:color="000000"/>
            </w:tcBorders>
          </w:tcPr>
          <w:p>
            <w:pPr>
              <w:pStyle w:val="TableParagraph"/>
              <w:spacing w:before="34"/>
              <w:ind w:left="1" w:right="1"/>
              <w:jc w:val="center"/>
              <w:rPr>
                <w:b/>
                <w:sz w:val="20"/>
              </w:rPr>
            </w:pPr>
            <w:r>
              <w:rPr>
                <w:b/>
                <w:spacing w:val="-4"/>
                <w:sz w:val="20"/>
              </w:rPr>
              <w:t>2019</w:t>
            </w:r>
          </w:p>
        </w:tc>
      </w:tr>
      <w:tr>
        <w:trPr>
          <w:trHeight w:val="299" w:hRule="atLeast"/>
        </w:trPr>
        <w:tc>
          <w:tcPr>
            <w:tcW w:w="3560" w:type="dxa"/>
            <w:vMerge/>
            <w:tcBorders>
              <w:top w:val="nil"/>
              <w:bottom w:val="single" w:sz="4" w:space="0" w:color="000000"/>
              <w:right w:val="single" w:sz="4" w:space="0" w:color="000000"/>
            </w:tcBorders>
          </w:tcPr>
          <w:p>
            <w:pPr>
              <w:rPr>
                <w:sz w:val="2"/>
                <w:szCs w:val="2"/>
              </w:rPr>
            </w:pPr>
          </w:p>
        </w:tc>
        <w:tc>
          <w:tcPr>
            <w:tcW w:w="5816" w:type="dxa"/>
            <w:gridSpan w:val="5"/>
            <w:tcBorders>
              <w:top w:val="single" w:sz="4" w:space="0" w:color="000000"/>
              <w:left w:val="single" w:sz="4" w:space="0" w:color="000000"/>
              <w:bottom w:val="single" w:sz="4" w:space="0" w:color="000000"/>
            </w:tcBorders>
          </w:tcPr>
          <w:p>
            <w:pPr>
              <w:pStyle w:val="TableParagraph"/>
              <w:spacing w:before="29"/>
              <w:ind w:left="1871"/>
              <w:rPr>
                <w:sz w:val="20"/>
              </w:rPr>
            </w:pPr>
            <w:r>
              <w:rPr>
                <w:sz w:val="20"/>
              </w:rPr>
              <w:t>Стопа</w:t>
            </w:r>
            <w:r>
              <w:rPr>
                <w:spacing w:val="-10"/>
                <w:sz w:val="20"/>
              </w:rPr>
              <w:t> </w:t>
            </w:r>
            <w:r>
              <w:rPr>
                <w:sz w:val="20"/>
              </w:rPr>
              <w:t>запослености</w:t>
            </w:r>
            <w:r>
              <w:rPr>
                <w:spacing w:val="-10"/>
                <w:sz w:val="20"/>
              </w:rPr>
              <w:t> </w:t>
            </w:r>
            <w:r>
              <w:rPr>
                <w:spacing w:val="-5"/>
                <w:sz w:val="20"/>
              </w:rPr>
              <w:t>(%)</w:t>
            </w:r>
          </w:p>
        </w:tc>
      </w:tr>
      <w:tr>
        <w:trPr>
          <w:trHeight w:val="298" w:hRule="atLeast"/>
        </w:trPr>
        <w:tc>
          <w:tcPr>
            <w:tcW w:w="3560" w:type="dxa"/>
            <w:tcBorders>
              <w:top w:val="single" w:sz="4" w:space="0" w:color="000000"/>
              <w:right w:val="single" w:sz="4" w:space="0" w:color="000000"/>
            </w:tcBorders>
          </w:tcPr>
          <w:p>
            <w:pPr>
              <w:pStyle w:val="TableParagraph"/>
              <w:spacing w:before="29"/>
              <w:ind w:left="122"/>
              <w:rPr>
                <w:sz w:val="20"/>
              </w:rPr>
            </w:pPr>
            <w:r>
              <w:rPr>
                <w:sz w:val="20"/>
              </w:rPr>
              <w:t>Београдски</w:t>
            </w:r>
            <w:r>
              <w:rPr>
                <w:spacing w:val="-10"/>
                <w:sz w:val="20"/>
              </w:rPr>
              <w:t> </w:t>
            </w:r>
            <w:r>
              <w:rPr>
                <w:spacing w:val="-2"/>
                <w:sz w:val="20"/>
              </w:rPr>
              <w:t>регион</w:t>
            </w:r>
          </w:p>
        </w:tc>
        <w:tc>
          <w:tcPr>
            <w:tcW w:w="1165" w:type="dxa"/>
            <w:tcBorders>
              <w:top w:val="single" w:sz="4" w:space="0" w:color="000000"/>
              <w:left w:val="single" w:sz="4" w:space="0" w:color="000000"/>
            </w:tcBorders>
          </w:tcPr>
          <w:p>
            <w:pPr>
              <w:pStyle w:val="TableParagraph"/>
              <w:spacing w:before="29"/>
              <w:ind w:right="6"/>
              <w:jc w:val="center"/>
              <w:rPr>
                <w:sz w:val="20"/>
              </w:rPr>
            </w:pPr>
            <w:r>
              <w:rPr>
                <w:spacing w:val="-4"/>
                <w:sz w:val="20"/>
              </w:rPr>
              <w:t>53,0</w:t>
            </w:r>
          </w:p>
        </w:tc>
        <w:tc>
          <w:tcPr>
            <w:tcW w:w="1163" w:type="dxa"/>
            <w:tcBorders>
              <w:top w:val="single" w:sz="4" w:space="0" w:color="000000"/>
            </w:tcBorders>
          </w:tcPr>
          <w:p>
            <w:pPr>
              <w:pStyle w:val="TableParagraph"/>
              <w:spacing w:before="29"/>
              <w:ind w:left="2" w:right="3"/>
              <w:jc w:val="center"/>
              <w:rPr>
                <w:sz w:val="20"/>
              </w:rPr>
            </w:pPr>
            <w:r>
              <w:rPr>
                <w:spacing w:val="-4"/>
                <w:sz w:val="20"/>
              </w:rPr>
              <w:t>56,9</w:t>
            </w:r>
          </w:p>
        </w:tc>
        <w:tc>
          <w:tcPr>
            <w:tcW w:w="1163" w:type="dxa"/>
            <w:tcBorders>
              <w:top w:val="single" w:sz="4" w:space="0" w:color="000000"/>
            </w:tcBorders>
          </w:tcPr>
          <w:p>
            <w:pPr>
              <w:pStyle w:val="TableParagraph"/>
              <w:spacing w:before="29"/>
              <w:ind w:right="3"/>
              <w:jc w:val="center"/>
              <w:rPr>
                <w:sz w:val="20"/>
              </w:rPr>
            </w:pPr>
            <w:r>
              <w:rPr>
                <w:spacing w:val="-4"/>
                <w:sz w:val="20"/>
              </w:rPr>
              <w:t>60,3</w:t>
            </w:r>
          </w:p>
        </w:tc>
        <w:tc>
          <w:tcPr>
            <w:tcW w:w="1163" w:type="dxa"/>
            <w:tcBorders>
              <w:top w:val="single" w:sz="4" w:space="0" w:color="000000"/>
            </w:tcBorders>
          </w:tcPr>
          <w:p>
            <w:pPr>
              <w:pStyle w:val="TableParagraph"/>
              <w:spacing w:before="29"/>
              <w:ind w:left="2" w:right="3"/>
              <w:jc w:val="center"/>
              <w:rPr>
                <w:sz w:val="20"/>
              </w:rPr>
            </w:pPr>
            <w:r>
              <w:rPr>
                <w:spacing w:val="-4"/>
                <w:sz w:val="20"/>
              </w:rPr>
              <w:t>62,9</w:t>
            </w:r>
          </w:p>
        </w:tc>
        <w:tc>
          <w:tcPr>
            <w:tcW w:w="1162" w:type="dxa"/>
            <w:tcBorders>
              <w:top w:val="single" w:sz="4" w:space="0" w:color="000000"/>
            </w:tcBorders>
          </w:tcPr>
          <w:p>
            <w:pPr>
              <w:pStyle w:val="TableParagraph"/>
              <w:spacing w:before="29"/>
              <w:ind w:right="1"/>
              <w:jc w:val="center"/>
              <w:rPr>
                <w:sz w:val="20"/>
              </w:rPr>
            </w:pPr>
            <w:r>
              <w:rPr>
                <w:spacing w:val="-4"/>
                <w:sz w:val="20"/>
              </w:rPr>
              <w:t>64,9</w:t>
            </w:r>
          </w:p>
        </w:tc>
      </w:tr>
      <w:tr>
        <w:trPr>
          <w:trHeight w:val="300" w:hRule="atLeast"/>
        </w:trPr>
        <w:tc>
          <w:tcPr>
            <w:tcW w:w="3560" w:type="dxa"/>
            <w:tcBorders>
              <w:right w:val="single" w:sz="4" w:space="0" w:color="000000"/>
            </w:tcBorders>
          </w:tcPr>
          <w:p>
            <w:pPr>
              <w:pStyle w:val="TableParagraph"/>
              <w:spacing w:before="30"/>
              <w:ind w:left="122"/>
              <w:rPr>
                <w:sz w:val="20"/>
              </w:rPr>
            </w:pPr>
            <w:r>
              <w:rPr>
                <w:sz w:val="20"/>
              </w:rPr>
              <w:t>Регион</w:t>
            </w:r>
            <w:r>
              <w:rPr>
                <w:spacing w:val="-8"/>
                <w:sz w:val="20"/>
              </w:rPr>
              <w:t> </w:t>
            </w:r>
            <w:r>
              <w:rPr>
                <w:spacing w:val="-2"/>
                <w:sz w:val="20"/>
              </w:rPr>
              <w:t>Војводине</w:t>
            </w:r>
          </w:p>
        </w:tc>
        <w:tc>
          <w:tcPr>
            <w:tcW w:w="1165" w:type="dxa"/>
            <w:tcBorders>
              <w:left w:val="single" w:sz="4" w:space="0" w:color="000000"/>
            </w:tcBorders>
          </w:tcPr>
          <w:p>
            <w:pPr>
              <w:pStyle w:val="TableParagraph"/>
              <w:spacing w:before="30"/>
              <w:ind w:right="6"/>
              <w:jc w:val="center"/>
              <w:rPr>
                <w:sz w:val="20"/>
              </w:rPr>
            </w:pPr>
            <w:r>
              <w:rPr>
                <w:spacing w:val="-4"/>
                <w:sz w:val="20"/>
              </w:rPr>
              <w:t>51,7</w:t>
            </w:r>
          </w:p>
        </w:tc>
        <w:tc>
          <w:tcPr>
            <w:tcW w:w="1163" w:type="dxa"/>
          </w:tcPr>
          <w:p>
            <w:pPr>
              <w:pStyle w:val="TableParagraph"/>
              <w:spacing w:before="30"/>
              <w:ind w:left="2" w:right="3"/>
              <w:jc w:val="center"/>
              <w:rPr>
                <w:sz w:val="20"/>
              </w:rPr>
            </w:pPr>
            <w:r>
              <w:rPr>
                <w:spacing w:val="-4"/>
                <w:sz w:val="20"/>
              </w:rPr>
              <w:t>54,4</w:t>
            </w:r>
          </w:p>
        </w:tc>
        <w:tc>
          <w:tcPr>
            <w:tcW w:w="1163" w:type="dxa"/>
          </w:tcPr>
          <w:p>
            <w:pPr>
              <w:pStyle w:val="TableParagraph"/>
              <w:spacing w:before="30"/>
              <w:ind w:right="3"/>
              <w:jc w:val="center"/>
              <w:rPr>
                <w:sz w:val="20"/>
              </w:rPr>
            </w:pPr>
            <w:r>
              <w:rPr>
                <w:spacing w:val="-4"/>
                <w:sz w:val="20"/>
              </w:rPr>
              <w:t>57,2</w:t>
            </w:r>
          </w:p>
        </w:tc>
        <w:tc>
          <w:tcPr>
            <w:tcW w:w="1163" w:type="dxa"/>
          </w:tcPr>
          <w:p>
            <w:pPr>
              <w:pStyle w:val="TableParagraph"/>
              <w:spacing w:before="30"/>
              <w:ind w:left="2" w:right="3"/>
              <w:jc w:val="center"/>
              <w:rPr>
                <w:sz w:val="20"/>
              </w:rPr>
            </w:pPr>
            <w:r>
              <w:rPr>
                <w:spacing w:val="-4"/>
                <w:sz w:val="20"/>
              </w:rPr>
              <w:t>59,1</w:t>
            </w:r>
          </w:p>
        </w:tc>
        <w:tc>
          <w:tcPr>
            <w:tcW w:w="1162" w:type="dxa"/>
          </w:tcPr>
          <w:p>
            <w:pPr>
              <w:pStyle w:val="TableParagraph"/>
              <w:spacing w:before="30"/>
              <w:ind w:right="1"/>
              <w:jc w:val="center"/>
              <w:rPr>
                <w:sz w:val="20"/>
              </w:rPr>
            </w:pPr>
            <w:r>
              <w:rPr>
                <w:spacing w:val="-4"/>
                <w:sz w:val="20"/>
              </w:rPr>
              <w:t>60,7</w:t>
            </w:r>
          </w:p>
        </w:tc>
      </w:tr>
      <w:tr>
        <w:trPr>
          <w:trHeight w:val="300" w:hRule="atLeast"/>
        </w:trPr>
        <w:tc>
          <w:tcPr>
            <w:tcW w:w="3560" w:type="dxa"/>
            <w:tcBorders>
              <w:right w:val="single" w:sz="4" w:space="0" w:color="000000"/>
            </w:tcBorders>
          </w:tcPr>
          <w:p>
            <w:pPr>
              <w:pStyle w:val="TableParagraph"/>
              <w:spacing w:before="30"/>
              <w:ind w:left="122"/>
              <w:rPr>
                <w:sz w:val="20"/>
              </w:rPr>
            </w:pPr>
            <w:r>
              <w:rPr>
                <w:sz w:val="20"/>
              </w:rPr>
              <w:t>Регион</w:t>
            </w:r>
            <w:r>
              <w:rPr>
                <w:spacing w:val="-8"/>
                <w:sz w:val="20"/>
              </w:rPr>
              <w:t> </w:t>
            </w:r>
            <w:r>
              <w:rPr>
                <w:sz w:val="20"/>
              </w:rPr>
              <w:t>Шумадије</w:t>
            </w:r>
            <w:r>
              <w:rPr>
                <w:spacing w:val="-8"/>
                <w:sz w:val="20"/>
              </w:rPr>
              <w:t> </w:t>
            </w:r>
            <w:r>
              <w:rPr>
                <w:sz w:val="20"/>
              </w:rPr>
              <w:t>и</w:t>
            </w:r>
            <w:r>
              <w:rPr>
                <w:spacing w:val="-8"/>
                <w:sz w:val="20"/>
              </w:rPr>
              <w:t> </w:t>
            </w:r>
            <w:r>
              <w:rPr>
                <w:sz w:val="20"/>
              </w:rPr>
              <w:t>Западне</w:t>
            </w:r>
            <w:r>
              <w:rPr>
                <w:spacing w:val="-4"/>
                <w:sz w:val="20"/>
              </w:rPr>
              <w:t> </w:t>
            </w:r>
            <w:r>
              <w:rPr>
                <w:spacing w:val="-2"/>
                <w:sz w:val="20"/>
              </w:rPr>
              <w:t>Србије</w:t>
            </w:r>
          </w:p>
        </w:tc>
        <w:tc>
          <w:tcPr>
            <w:tcW w:w="1165" w:type="dxa"/>
            <w:tcBorders>
              <w:left w:val="single" w:sz="4" w:space="0" w:color="000000"/>
            </w:tcBorders>
          </w:tcPr>
          <w:p>
            <w:pPr>
              <w:pStyle w:val="TableParagraph"/>
              <w:spacing w:before="30"/>
              <w:ind w:right="6"/>
              <w:jc w:val="center"/>
              <w:rPr>
                <w:sz w:val="20"/>
              </w:rPr>
            </w:pPr>
            <w:r>
              <w:rPr>
                <w:spacing w:val="-4"/>
                <w:sz w:val="20"/>
              </w:rPr>
              <w:t>53,0</w:t>
            </w:r>
          </w:p>
        </w:tc>
        <w:tc>
          <w:tcPr>
            <w:tcW w:w="1163" w:type="dxa"/>
          </w:tcPr>
          <w:p>
            <w:pPr>
              <w:pStyle w:val="TableParagraph"/>
              <w:spacing w:before="30"/>
              <w:ind w:left="2" w:right="3"/>
              <w:jc w:val="center"/>
              <w:rPr>
                <w:sz w:val="20"/>
              </w:rPr>
            </w:pPr>
            <w:r>
              <w:rPr>
                <w:spacing w:val="-4"/>
                <w:sz w:val="20"/>
              </w:rPr>
              <w:t>55,8</w:t>
            </w:r>
          </w:p>
        </w:tc>
        <w:tc>
          <w:tcPr>
            <w:tcW w:w="1163" w:type="dxa"/>
          </w:tcPr>
          <w:p>
            <w:pPr>
              <w:pStyle w:val="TableParagraph"/>
              <w:spacing w:before="30"/>
              <w:ind w:right="3"/>
              <w:jc w:val="center"/>
              <w:rPr>
                <w:sz w:val="20"/>
              </w:rPr>
            </w:pPr>
            <w:r>
              <w:rPr>
                <w:spacing w:val="-4"/>
                <w:sz w:val="20"/>
              </w:rPr>
              <w:t>57,2</w:t>
            </w:r>
          </w:p>
        </w:tc>
        <w:tc>
          <w:tcPr>
            <w:tcW w:w="1163" w:type="dxa"/>
          </w:tcPr>
          <w:p>
            <w:pPr>
              <w:pStyle w:val="TableParagraph"/>
              <w:spacing w:before="30"/>
              <w:ind w:left="2" w:right="3"/>
              <w:jc w:val="center"/>
              <w:rPr>
                <w:sz w:val="20"/>
              </w:rPr>
            </w:pPr>
            <w:r>
              <w:rPr>
                <w:spacing w:val="-4"/>
                <w:sz w:val="20"/>
              </w:rPr>
              <w:t>58,1</w:t>
            </w:r>
          </w:p>
        </w:tc>
        <w:tc>
          <w:tcPr>
            <w:tcW w:w="1162" w:type="dxa"/>
          </w:tcPr>
          <w:p>
            <w:pPr>
              <w:pStyle w:val="TableParagraph"/>
              <w:spacing w:before="30"/>
              <w:ind w:right="1"/>
              <w:jc w:val="center"/>
              <w:rPr>
                <w:sz w:val="20"/>
              </w:rPr>
            </w:pPr>
            <w:r>
              <w:rPr>
                <w:spacing w:val="-4"/>
                <w:sz w:val="20"/>
              </w:rPr>
              <w:t>59,8</w:t>
            </w:r>
          </w:p>
        </w:tc>
      </w:tr>
      <w:tr>
        <w:trPr>
          <w:trHeight w:val="301" w:hRule="atLeast"/>
        </w:trPr>
        <w:tc>
          <w:tcPr>
            <w:tcW w:w="3560" w:type="dxa"/>
            <w:tcBorders>
              <w:bottom w:val="single" w:sz="4" w:space="0" w:color="000000"/>
              <w:right w:val="single" w:sz="4" w:space="0" w:color="000000"/>
            </w:tcBorders>
          </w:tcPr>
          <w:p>
            <w:pPr>
              <w:pStyle w:val="TableParagraph"/>
              <w:spacing w:before="30"/>
              <w:ind w:left="122"/>
              <w:rPr>
                <w:sz w:val="20"/>
              </w:rPr>
            </w:pPr>
            <w:r>
              <w:rPr>
                <w:sz w:val="20"/>
              </w:rPr>
              <w:t>Регион</w:t>
            </w:r>
            <w:r>
              <w:rPr>
                <w:spacing w:val="-7"/>
                <w:sz w:val="20"/>
              </w:rPr>
              <w:t> </w:t>
            </w:r>
            <w:r>
              <w:rPr>
                <w:sz w:val="20"/>
              </w:rPr>
              <w:t>Јужне</w:t>
            </w:r>
            <w:r>
              <w:rPr>
                <w:spacing w:val="-6"/>
                <w:sz w:val="20"/>
              </w:rPr>
              <w:t> </w:t>
            </w:r>
            <w:r>
              <w:rPr>
                <w:sz w:val="20"/>
              </w:rPr>
              <w:t>и</w:t>
            </w:r>
            <w:r>
              <w:rPr>
                <w:spacing w:val="-6"/>
                <w:sz w:val="20"/>
              </w:rPr>
              <w:t> </w:t>
            </w:r>
            <w:r>
              <w:rPr>
                <w:sz w:val="20"/>
              </w:rPr>
              <w:t>Источне</w:t>
            </w:r>
            <w:r>
              <w:rPr>
                <w:spacing w:val="-6"/>
                <w:sz w:val="20"/>
              </w:rPr>
              <w:t> </w:t>
            </w:r>
            <w:r>
              <w:rPr>
                <w:spacing w:val="-2"/>
                <w:sz w:val="20"/>
              </w:rPr>
              <w:t>Србије</w:t>
            </w:r>
          </w:p>
        </w:tc>
        <w:tc>
          <w:tcPr>
            <w:tcW w:w="1165" w:type="dxa"/>
            <w:tcBorders>
              <w:left w:val="single" w:sz="4" w:space="0" w:color="000000"/>
              <w:bottom w:val="single" w:sz="4" w:space="0" w:color="000000"/>
            </w:tcBorders>
          </w:tcPr>
          <w:p>
            <w:pPr>
              <w:pStyle w:val="TableParagraph"/>
              <w:spacing w:before="30"/>
              <w:ind w:right="6"/>
              <w:jc w:val="center"/>
              <w:rPr>
                <w:sz w:val="20"/>
              </w:rPr>
            </w:pPr>
            <w:r>
              <w:rPr>
                <w:spacing w:val="-4"/>
                <w:sz w:val="20"/>
              </w:rPr>
              <w:t>49,7</w:t>
            </w:r>
          </w:p>
        </w:tc>
        <w:tc>
          <w:tcPr>
            <w:tcW w:w="1163" w:type="dxa"/>
            <w:tcBorders>
              <w:bottom w:val="single" w:sz="4" w:space="0" w:color="000000"/>
            </w:tcBorders>
          </w:tcPr>
          <w:p>
            <w:pPr>
              <w:pStyle w:val="TableParagraph"/>
              <w:spacing w:before="30"/>
              <w:ind w:left="2" w:right="3"/>
              <w:jc w:val="center"/>
              <w:rPr>
                <w:sz w:val="20"/>
              </w:rPr>
            </w:pPr>
            <w:r>
              <w:rPr>
                <w:spacing w:val="-4"/>
                <w:sz w:val="20"/>
              </w:rPr>
              <w:t>53,3</w:t>
            </w:r>
          </w:p>
        </w:tc>
        <w:tc>
          <w:tcPr>
            <w:tcW w:w="1163" w:type="dxa"/>
            <w:tcBorders>
              <w:bottom w:val="single" w:sz="4" w:space="0" w:color="000000"/>
            </w:tcBorders>
          </w:tcPr>
          <w:p>
            <w:pPr>
              <w:pStyle w:val="TableParagraph"/>
              <w:spacing w:before="30"/>
              <w:ind w:right="3"/>
              <w:jc w:val="center"/>
              <w:rPr>
                <w:sz w:val="20"/>
              </w:rPr>
            </w:pPr>
            <w:r>
              <w:rPr>
                <w:spacing w:val="-4"/>
                <w:sz w:val="20"/>
              </w:rPr>
              <w:t>54,2</w:t>
            </w:r>
          </w:p>
        </w:tc>
        <w:tc>
          <w:tcPr>
            <w:tcW w:w="1163" w:type="dxa"/>
            <w:tcBorders>
              <w:bottom w:val="single" w:sz="4" w:space="0" w:color="000000"/>
            </w:tcBorders>
          </w:tcPr>
          <w:p>
            <w:pPr>
              <w:pStyle w:val="TableParagraph"/>
              <w:spacing w:before="30"/>
              <w:ind w:left="2" w:right="3"/>
              <w:jc w:val="center"/>
              <w:rPr>
                <w:sz w:val="20"/>
              </w:rPr>
            </w:pPr>
            <w:r>
              <w:rPr>
                <w:spacing w:val="-4"/>
                <w:sz w:val="20"/>
              </w:rPr>
              <w:t>54,6</w:t>
            </w:r>
          </w:p>
        </w:tc>
        <w:tc>
          <w:tcPr>
            <w:tcW w:w="1162" w:type="dxa"/>
            <w:tcBorders>
              <w:bottom w:val="single" w:sz="4" w:space="0" w:color="000000"/>
            </w:tcBorders>
          </w:tcPr>
          <w:p>
            <w:pPr>
              <w:pStyle w:val="TableParagraph"/>
              <w:spacing w:before="30"/>
              <w:ind w:right="1"/>
              <w:jc w:val="center"/>
              <w:rPr>
                <w:sz w:val="20"/>
              </w:rPr>
            </w:pPr>
            <w:r>
              <w:rPr>
                <w:spacing w:val="-4"/>
                <w:sz w:val="20"/>
              </w:rPr>
              <w:t>56,9</w:t>
            </w:r>
          </w:p>
        </w:tc>
      </w:tr>
      <w:tr>
        <w:trPr>
          <w:trHeight w:val="302" w:hRule="atLeast"/>
        </w:trPr>
        <w:tc>
          <w:tcPr>
            <w:tcW w:w="3560" w:type="dxa"/>
            <w:tcBorders>
              <w:top w:val="single" w:sz="4" w:space="0" w:color="000000"/>
              <w:bottom w:val="single" w:sz="4" w:space="0" w:color="000000"/>
              <w:right w:val="single" w:sz="4" w:space="0" w:color="000000"/>
            </w:tcBorders>
          </w:tcPr>
          <w:p>
            <w:pPr>
              <w:pStyle w:val="TableParagraph"/>
              <w:rPr>
                <w:sz w:val="22"/>
              </w:rPr>
            </w:pPr>
          </w:p>
        </w:tc>
        <w:tc>
          <w:tcPr>
            <w:tcW w:w="5816" w:type="dxa"/>
            <w:gridSpan w:val="5"/>
            <w:tcBorders>
              <w:top w:val="single" w:sz="4" w:space="0" w:color="000000"/>
              <w:left w:val="single" w:sz="4" w:space="0" w:color="000000"/>
              <w:bottom w:val="single" w:sz="4" w:space="0" w:color="000000"/>
            </w:tcBorders>
          </w:tcPr>
          <w:p>
            <w:pPr>
              <w:pStyle w:val="TableParagraph"/>
              <w:spacing w:before="29"/>
              <w:ind w:left="1775"/>
              <w:rPr>
                <w:sz w:val="20"/>
              </w:rPr>
            </w:pPr>
            <w:r>
              <w:rPr>
                <w:sz w:val="20"/>
              </w:rPr>
              <w:t>Стопа</w:t>
            </w:r>
            <w:r>
              <w:rPr>
                <w:spacing w:val="-10"/>
                <w:sz w:val="20"/>
              </w:rPr>
              <w:t> </w:t>
            </w:r>
            <w:r>
              <w:rPr>
                <w:sz w:val="20"/>
              </w:rPr>
              <w:t>незапослености</w:t>
            </w:r>
            <w:r>
              <w:rPr>
                <w:spacing w:val="-12"/>
                <w:sz w:val="20"/>
              </w:rPr>
              <w:t> </w:t>
            </w:r>
            <w:r>
              <w:rPr>
                <w:spacing w:val="-5"/>
                <w:sz w:val="20"/>
              </w:rPr>
              <w:t>(%)</w:t>
            </w:r>
          </w:p>
        </w:tc>
      </w:tr>
      <w:tr>
        <w:trPr>
          <w:trHeight w:val="296" w:hRule="atLeast"/>
        </w:trPr>
        <w:tc>
          <w:tcPr>
            <w:tcW w:w="3560" w:type="dxa"/>
            <w:tcBorders>
              <w:top w:val="single" w:sz="4" w:space="0" w:color="000000"/>
              <w:right w:val="single" w:sz="4" w:space="0" w:color="000000"/>
            </w:tcBorders>
          </w:tcPr>
          <w:p>
            <w:pPr>
              <w:pStyle w:val="TableParagraph"/>
              <w:spacing w:before="26"/>
              <w:ind w:left="122"/>
              <w:rPr>
                <w:sz w:val="20"/>
              </w:rPr>
            </w:pPr>
            <w:r>
              <w:rPr>
                <w:sz w:val="20"/>
              </w:rPr>
              <w:t>Београдски</w:t>
            </w:r>
            <w:r>
              <w:rPr>
                <w:spacing w:val="-10"/>
                <w:sz w:val="20"/>
              </w:rPr>
              <w:t> </w:t>
            </w:r>
            <w:r>
              <w:rPr>
                <w:spacing w:val="-2"/>
                <w:sz w:val="20"/>
              </w:rPr>
              <w:t>регион</w:t>
            </w:r>
          </w:p>
        </w:tc>
        <w:tc>
          <w:tcPr>
            <w:tcW w:w="1165" w:type="dxa"/>
            <w:tcBorders>
              <w:top w:val="single" w:sz="4" w:space="0" w:color="000000"/>
              <w:left w:val="single" w:sz="4" w:space="0" w:color="000000"/>
            </w:tcBorders>
          </w:tcPr>
          <w:p>
            <w:pPr>
              <w:pStyle w:val="TableParagraph"/>
              <w:spacing w:before="26"/>
              <w:ind w:right="6"/>
              <w:jc w:val="center"/>
              <w:rPr>
                <w:sz w:val="20"/>
              </w:rPr>
            </w:pPr>
            <w:r>
              <w:rPr>
                <w:spacing w:val="-4"/>
                <w:sz w:val="20"/>
              </w:rPr>
              <w:t>18,9</w:t>
            </w:r>
          </w:p>
        </w:tc>
        <w:tc>
          <w:tcPr>
            <w:tcW w:w="1163" w:type="dxa"/>
            <w:tcBorders>
              <w:top w:val="single" w:sz="4" w:space="0" w:color="000000"/>
            </w:tcBorders>
          </w:tcPr>
          <w:p>
            <w:pPr>
              <w:pStyle w:val="TableParagraph"/>
              <w:spacing w:before="26"/>
              <w:ind w:left="2" w:right="3"/>
              <w:jc w:val="center"/>
              <w:rPr>
                <w:sz w:val="20"/>
              </w:rPr>
            </w:pPr>
            <w:r>
              <w:rPr>
                <w:spacing w:val="-4"/>
                <w:sz w:val="20"/>
              </w:rPr>
              <w:t>15,9</w:t>
            </w:r>
          </w:p>
        </w:tc>
        <w:tc>
          <w:tcPr>
            <w:tcW w:w="1163" w:type="dxa"/>
            <w:tcBorders>
              <w:top w:val="single" w:sz="4" w:space="0" w:color="000000"/>
            </w:tcBorders>
          </w:tcPr>
          <w:p>
            <w:pPr>
              <w:pStyle w:val="TableParagraph"/>
              <w:spacing w:before="26"/>
              <w:ind w:right="3"/>
              <w:jc w:val="center"/>
              <w:rPr>
                <w:sz w:val="20"/>
              </w:rPr>
            </w:pPr>
            <w:r>
              <w:rPr>
                <w:spacing w:val="-4"/>
                <w:sz w:val="20"/>
              </w:rPr>
              <w:t>13,5</w:t>
            </w:r>
          </w:p>
        </w:tc>
        <w:tc>
          <w:tcPr>
            <w:tcW w:w="1163" w:type="dxa"/>
            <w:tcBorders>
              <w:top w:val="single" w:sz="4" w:space="0" w:color="000000"/>
            </w:tcBorders>
          </w:tcPr>
          <w:p>
            <w:pPr>
              <w:pStyle w:val="TableParagraph"/>
              <w:spacing w:before="26"/>
              <w:ind w:left="2" w:right="3"/>
              <w:jc w:val="center"/>
              <w:rPr>
                <w:sz w:val="20"/>
              </w:rPr>
            </w:pPr>
            <w:r>
              <w:rPr>
                <w:spacing w:val="-4"/>
                <w:sz w:val="20"/>
              </w:rPr>
              <w:t>11,0</w:t>
            </w:r>
          </w:p>
        </w:tc>
        <w:tc>
          <w:tcPr>
            <w:tcW w:w="1162" w:type="dxa"/>
            <w:tcBorders>
              <w:top w:val="single" w:sz="4" w:space="0" w:color="000000"/>
            </w:tcBorders>
          </w:tcPr>
          <w:p>
            <w:pPr>
              <w:pStyle w:val="TableParagraph"/>
              <w:spacing w:before="26"/>
              <w:ind w:right="1"/>
              <w:jc w:val="center"/>
              <w:rPr>
                <w:sz w:val="20"/>
              </w:rPr>
            </w:pPr>
            <w:r>
              <w:rPr>
                <w:spacing w:val="-5"/>
                <w:sz w:val="20"/>
              </w:rPr>
              <w:t>8,4</w:t>
            </w:r>
          </w:p>
        </w:tc>
      </w:tr>
      <w:tr>
        <w:trPr>
          <w:trHeight w:val="300" w:hRule="atLeast"/>
        </w:trPr>
        <w:tc>
          <w:tcPr>
            <w:tcW w:w="3560" w:type="dxa"/>
            <w:tcBorders>
              <w:right w:val="single" w:sz="4" w:space="0" w:color="000000"/>
            </w:tcBorders>
          </w:tcPr>
          <w:p>
            <w:pPr>
              <w:pStyle w:val="TableParagraph"/>
              <w:spacing w:before="30"/>
              <w:ind w:left="122"/>
              <w:rPr>
                <w:sz w:val="20"/>
              </w:rPr>
            </w:pPr>
            <w:r>
              <w:rPr>
                <w:sz w:val="20"/>
              </w:rPr>
              <w:t>Регион</w:t>
            </w:r>
            <w:r>
              <w:rPr>
                <w:spacing w:val="-8"/>
                <w:sz w:val="20"/>
              </w:rPr>
              <w:t> </w:t>
            </w:r>
            <w:r>
              <w:rPr>
                <w:spacing w:val="-2"/>
                <w:sz w:val="20"/>
              </w:rPr>
              <w:t>Војводине</w:t>
            </w:r>
          </w:p>
        </w:tc>
        <w:tc>
          <w:tcPr>
            <w:tcW w:w="1165" w:type="dxa"/>
            <w:tcBorders>
              <w:left w:val="single" w:sz="4" w:space="0" w:color="000000"/>
            </w:tcBorders>
          </w:tcPr>
          <w:p>
            <w:pPr>
              <w:pStyle w:val="TableParagraph"/>
              <w:spacing w:before="30"/>
              <w:ind w:right="6"/>
              <w:jc w:val="center"/>
              <w:rPr>
                <w:sz w:val="20"/>
              </w:rPr>
            </w:pPr>
            <w:r>
              <w:rPr>
                <w:spacing w:val="-4"/>
                <w:sz w:val="20"/>
              </w:rPr>
              <w:t>16,9</w:t>
            </w:r>
          </w:p>
        </w:tc>
        <w:tc>
          <w:tcPr>
            <w:tcW w:w="1163" w:type="dxa"/>
          </w:tcPr>
          <w:p>
            <w:pPr>
              <w:pStyle w:val="TableParagraph"/>
              <w:spacing w:before="30"/>
              <w:ind w:left="2" w:right="3"/>
              <w:jc w:val="center"/>
              <w:rPr>
                <w:sz w:val="20"/>
              </w:rPr>
            </w:pPr>
            <w:r>
              <w:rPr>
                <w:spacing w:val="-4"/>
                <w:sz w:val="20"/>
              </w:rPr>
              <w:t>15,5</w:t>
            </w:r>
          </w:p>
        </w:tc>
        <w:tc>
          <w:tcPr>
            <w:tcW w:w="1163" w:type="dxa"/>
          </w:tcPr>
          <w:p>
            <w:pPr>
              <w:pStyle w:val="TableParagraph"/>
              <w:spacing w:before="30"/>
              <w:ind w:right="3"/>
              <w:jc w:val="center"/>
              <w:rPr>
                <w:sz w:val="20"/>
              </w:rPr>
            </w:pPr>
            <w:r>
              <w:rPr>
                <w:spacing w:val="-4"/>
                <w:sz w:val="20"/>
              </w:rPr>
              <w:t>12,4</w:t>
            </w:r>
          </w:p>
        </w:tc>
        <w:tc>
          <w:tcPr>
            <w:tcW w:w="1163" w:type="dxa"/>
          </w:tcPr>
          <w:p>
            <w:pPr>
              <w:pStyle w:val="TableParagraph"/>
              <w:spacing w:before="30"/>
              <w:ind w:left="2" w:right="3"/>
              <w:jc w:val="center"/>
              <w:rPr>
                <w:sz w:val="20"/>
              </w:rPr>
            </w:pPr>
            <w:r>
              <w:rPr>
                <w:spacing w:val="-4"/>
                <w:sz w:val="20"/>
              </w:rPr>
              <w:t>10,7</w:t>
            </w:r>
          </w:p>
        </w:tc>
        <w:tc>
          <w:tcPr>
            <w:tcW w:w="1162" w:type="dxa"/>
          </w:tcPr>
          <w:p>
            <w:pPr>
              <w:pStyle w:val="TableParagraph"/>
              <w:spacing w:before="30"/>
              <w:ind w:right="1"/>
              <w:jc w:val="center"/>
              <w:rPr>
                <w:sz w:val="20"/>
              </w:rPr>
            </w:pPr>
            <w:r>
              <w:rPr>
                <w:spacing w:val="-5"/>
                <w:sz w:val="20"/>
              </w:rPr>
              <w:t>9,3</w:t>
            </w:r>
          </w:p>
        </w:tc>
      </w:tr>
      <w:tr>
        <w:trPr>
          <w:trHeight w:val="300" w:hRule="atLeast"/>
        </w:trPr>
        <w:tc>
          <w:tcPr>
            <w:tcW w:w="3560" w:type="dxa"/>
            <w:tcBorders>
              <w:right w:val="single" w:sz="4" w:space="0" w:color="000000"/>
            </w:tcBorders>
          </w:tcPr>
          <w:p>
            <w:pPr>
              <w:pStyle w:val="TableParagraph"/>
              <w:spacing w:before="30"/>
              <w:ind w:left="122"/>
              <w:rPr>
                <w:sz w:val="20"/>
              </w:rPr>
            </w:pPr>
            <w:r>
              <w:rPr>
                <w:sz w:val="20"/>
              </w:rPr>
              <w:t>Регион</w:t>
            </w:r>
            <w:r>
              <w:rPr>
                <w:spacing w:val="-8"/>
                <w:sz w:val="20"/>
              </w:rPr>
              <w:t> </w:t>
            </w:r>
            <w:r>
              <w:rPr>
                <w:sz w:val="20"/>
              </w:rPr>
              <w:t>Шумадије</w:t>
            </w:r>
            <w:r>
              <w:rPr>
                <w:spacing w:val="-8"/>
                <w:sz w:val="20"/>
              </w:rPr>
              <w:t> </w:t>
            </w:r>
            <w:r>
              <w:rPr>
                <w:sz w:val="20"/>
              </w:rPr>
              <w:t>и</w:t>
            </w:r>
            <w:r>
              <w:rPr>
                <w:spacing w:val="-8"/>
                <w:sz w:val="20"/>
              </w:rPr>
              <w:t> </w:t>
            </w:r>
            <w:r>
              <w:rPr>
                <w:sz w:val="20"/>
              </w:rPr>
              <w:t>Западне</w:t>
            </w:r>
            <w:r>
              <w:rPr>
                <w:spacing w:val="-4"/>
                <w:sz w:val="20"/>
              </w:rPr>
              <w:t> </w:t>
            </w:r>
            <w:r>
              <w:rPr>
                <w:spacing w:val="-2"/>
                <w:sz w:val="20"/>
              </w:rPr>
              <w:t>Србије</w:t>
            </w:r>
          </w:p>
        </w:tc>
        <w:tc>
          <w:tcPr>
            <w:tcW w:w="1165" w:type="dxa"/>
            <w:tcBorders>
              <w:left w:val="single" w:sz="4" w:space="0" w:color="000000"/>
            </w:tcBorders>
          </w:tcPr>
          <w:p>
            <w:pPr>
              <w:pStyle w:val="TableParagraph"/>
              <w:spacing w:before="30"/>
              <w:ind w:right="6"/>
              <w:jc w:val="center"/>
              <w:rPr>
                <w:sz w:val="20"/>
              </w:rPr>
            </w:pPr>
            <w:r>
              <w:rPr>
                <w:spacing w:val="-4"/>
                <w:sz w:val="20"/>
              </w:rPr>
              <w:t>17,8</w:t>
            </w:r>
          </w:p>
        </w:tc>
        <w:tc>
          <w:tcPr>
            <w:tcW w:w="1163" w:type="dxa"/>
          </w:tcPr>
          <w:p>
            <w:pPr>
              <w:pStyle w:val="TableParagraph"/>
              <w:spacing w:before="30"/>
              <w:ind w:left="2" w:right="3"/>
              <w:jc w:val="center"/>
              <w:rPr>
                <w:sz w:val="20"/>
              </w:rPr>
            </w:pPr>
            <w:r>
              <w:rPr>
                <w:spacing w:val="-4"/>
                <w:sz w:val="20"/>
              </w:rPr>
              <w:t>15,7</w:t>
            </w:r>
          </w:p>
        </w:tc>
        <w:tc>
          <w:tcPr>
            <w:tcW w:w="1163" w:type="dxa"/>
          </w:tcPr>
          <w:p>
            <w:pPr>
              <w:pStyle w:val="TableParagraph"/>
              <w:spacing w:before="30"/>
              <w:ind w:right="3"/>
              <w:jc w:val="center"/>
              <w:rPr>
                <w:sz w:val="20"/>
              </w:rPr>
            </w:pPr>
            <w:r>
              <w:rPr>
                <w:spacing w:val="-4"/>
                <w:sz w:val="20"/>
              </w:rPr>
              <w:t>14,6</w:t>
            </w:r>
          </w:p>
        </w:tc>
        <w:tc>
          <w:tcPr>
            <w:tcW w:w="1163" w:type="dxa"/>
          </w:tcPr>
          <w:p>
            <w:pPr>
              <w:pStyle w:val="TableParagraph"/>
              <w:spacing w:before="30"/>
              <w:ind w:left="2" w:right="3"/>
              <w:jc w:val="center"/>
              <w:rPr>
                <w:sz w:val="20"/>
              </w:rPr>
            </w:pPr>
            <w:r>
              <w:rPr>
                <w:spacing w:val="-4"/>
                <w:sz w:val="20"/>
              </w:rPr>
              <w:t>14,9</w:t>
            </w:r>
          </w:p>
        </w:tc>
        <w:tc>
          <w:tcPr>
            <w:tcW w:w="1162" w:type="dxa"/>
          </w:tcPr>
          <w:p>
            <w:pPr>
              <w:pStyle w:val="TableParagraph"/>
              <w:spacing w:before="30"/>
              <w:ind w:right="1"/>
              <w:jc w:val="center"/>
              <w:rPr>
                <w:sz w:val="20"/>
              </w:rPr>
            </w:pPr>
            <w:r>
              <w:rPr>
                <w:spacing w:val="-4"/>
                <w:sz w:val="20"/>
              </w:rPr>
              <w:t>12,5</w:t>
            </w:r>
          </w:p>
        </w:tc>
      </w:tr>
      <w:tr>
        <w:trPr>
          <w:trHeight w:val="303" w:hRule="atLeast"/>
        </w:trPr>
        <w:tc>
          <w:tcPr>
            <w:tcW w:w="3560" w:type="dxa"/>
            <w:tcBorders>
              <w:bottom w:val="single" w:sz="4" w:space="0" w:color="000000"/>
              <w:right w:val="single" w:sz="4" w:space="0" w:color="000000"/>
            </w:tcBorders>
          </w:tcPr>
          <w:p>
            <w:pPr>
              <w:pStyle w:val="TableParagraph"/>
              <w:spacing w:before="30"/>
              <w:ind w:left="122"/>
              <w:rPr>
                <w:sz w:val="20"/>
              </w:rPr>
            </w:pPr>
            <w:r>
              <w:rPr>
                <w:sz w:val="20"/>
              </w:rPr>
              <w:t>Регион</w:t>
            </w:r>
            <w:r>
              <w:rPr>
                <w:spacing w:val="-7"/>
                <w:sz w:val="20"/>
              </w:rPr>
              <w:t> </w:t>
            </w:r>
            <w:r>
              <w:rPr>
                <w:sz w:val="20"/>
              </w:rPr>
              <w:t>Јужне</w:t>
            </w:r>
            <w:r>
              <w:rPr>
                <w:spacing w:val="-6"/>
                <w:sz w:val="20"/>
              </w:rPr>
              <w:t> </w:t>
            </w:r>
            <w:r>
              <w:rPr>
                <w:sz w:val="20"/>
              </w:rPr>
              <w:t>и</w:t>
            </w:r>
            <w:r>
              <w:rPr>
                <w:spacing w:val="-6"/>
                <w:sz w:val="20"/>
              </w:rPr>
              <w:t> </w:t>
            </w:r>
            <w:r>
              <w:rPr>
                <w:sz w:val="20"/>
              </w:rPr>
              <w:t>Источне</w:t>
            </w:r>
            <w:r>
              <w:rPr>
                <w:spacing w:val="-6"/>
                <w:sz w:val="20"/>
              </w:rPr>
              <w:t> </w:t>
            </w:r>
            <w:r>
              <w:rPr>
                <w:spacing w:val="-2"/>
                <w:sz w:val="20"/>
              </w:rPr>
              <w:t>Србије</w:t>
            </w:r>
          </w:p>
        </w:tc>
        <w:tc>
          <w:tcPr>
            <w:tcW w:w="1165" w:type="dxa"/>
            <w:tcBorders>
              <w:left w:val="single" w:sz="4" w:space="0" w:color="000000"/>
              <w:bottom w:val="single" w:sz="4" w:space="0" w:color="000000"/>
            </w:tcBorders>
          </w:tcPr>
          <w:p>
            <w:pPr>
              <w:pStyle w:val="TableParagraph"/>
              <w:spacing w:before="30"/>
              <w:ind w:right="6"/>
              <w:jc w:val="center"/>
              <w:rPr>
                <w:sz w:val="20"/>
              </w:rPr>
            </w:pPr>
            <w:r>
              <w:rPr>
                <w:spacing w:val="-4"/>
                <w:sz w:val="20"/>
              </w:rPr>
              <w:t>19,7</w:t>
            </w:r>
          </w:p>
        </w:tc>
        <w:tc>
          <w:tcPr>
            <w:tcW w:w="1163" w:type="dxa"/>
            <w:tcBorders>
              <w:bottom w:val="single" w:sz="4" w:space="0" w:color="000000"/>
            </w:tcBorders>
          </w:tcPr>
          <w:p>
            <w:pPr>
              <w:pStyle w:val="TableParagraph"/>
              <w:spacing w:before="30"/>
              <w:ind w:left="2" w:right="3"/>
              <w:jc w:val="center"/>
              <w:rPr>
                <w:sz w:val="20"/>
              </w:rPr>
            </w:pPr>
            <w:r>
              <w:rPr>
                <w:spacing w:val="-4"/>
                <w:sz w:val="20"/>
              </w:rPr>
              <w:t>16,8</w:t>
            </w:r>
          </w:p>
        </w:tc>
        <w:tc>
          <w:tcPr>
            <w:tcW w:w="1163" w:type="dxa"/>
            <w:tcBorders>
              <w:bottom w:val="single" w:sz="4" w:space="0" w:color="000000"/>
            </w:tcBorders>
          </w:tcPr>
          <w:p>
            <w:pPr>
              <w:pStyle w:val="TableParagraph"/>
              <w:spacing w:before="30"/>
              <w:ind w:right="3"/>
              <w:jc w:val="center"/>
              <w:rPr>
                <w:sz w:val="20"/>
              </w:rPr>
            </w:pPr>
            <w:r>
              <w:rPr>
                <w:spacing w:val="-4"/>
                <w:sz w:val="20"/>
              </w:rPr>
              <w:t>16,2</w:t>
            </w:r>
          </w:p>
        </w:tc>
        <w:tc>
          <w:tcPr>
            <w:tcW w:w="1163" w:type="dxa"/>
            <w:tcBorders>
              <w:bottom w:val="single" w:sz="4" w:space="0" w:color="000000"/>
            </w:tcBorders>
          </w:tcPr>
          <w:p>
            <w:pPr>
              <w:pStyle w:val="TableParagraph"/>
              <w:spacing w:before="30"/>
              <w:ind w:left="2" w:right="3"/>
              <w:jc w:val="center"/>
              <w:rPr>
                <w:sz w:val="20"/>
              </w:rPr>
            </w:pPr>
            <w:r>
              <w:rPr>
                <w:spacing w:val="-4"/>
                <w:sz w:val="20"/>
              </w:rPr>
              <w:t>17,3</w:t>
            </w:r>
          </w:p>
        </w:tc>
        <w:tc>
          <w:tcPr>
            <w:tcW w:w="1162" w:type="dxa"/>
            <w:tcBorders>
              <w:bottom w:val="single" w:sz="4" w:space="0" w:color="000000"/>
            </w:tcBorders>
          </w:tcPr>
          <w:p>
            <w:pPr>
              <w:pStyle w:val="TableParagraph"/>
              <w:spacing w:before="30"/>
              <w:ind w:right="1"/>
              <w:jc w:val="center"/>
              <w:rPr>
                <w:sz w:val="20"/>
              </w:rPr>
            </w:pPr>
            <w:r>
              <w:rPr>
                <w:spacing w:val="-4"/>
                <w:sz w:val="20"/>
              </w:rPr>
              <w:t>14,1</w:t>
            </w:r>
          </w:p>
        </w:tc>
      </w:tr>
    </w:tbl>
    <w:p>
      <w:pPr>
        <w:spacing w:before="0"/>
        <w:ind w:left="360" w:right="0" w:firstLine="0"/>
        <w:jc w:val="both"/>
        <w:rPr>
          <w:sz w:val="20"/>
        </w:rPr>
      </w:pPr>
      <w:r>
        <w:rPr>
          <w:sz w:val="20"/>
        </w:rPr>
        <w:t>*Напомена:</w:t>
      </w:r>
      <w:r>
        <w:rPr>
          <w:spacing w:val="-6"/>
          <w:sz w:val="20"/>
        </w:rPr>
        <w:t> </w:t>
      </w:r>
      <w:r>
        <w:rPr>
          <w:sz w:val="20"/>
        </w:rPr>
        <w:t>од</w:t>
      </w:r>
      <w:r>
        <w:rPr>
          <w:spacing w:val="-5"/>
          <w:sz w:val="20"/>
        </w:rPr>
        <w:t> </w:t>
      </w:r>
      <w:r>
        <w:rPr>
          <w:sz w:val="20"/>
        </w:rPr>
        <w:t>1999.</w:t>
      </w:r>
      <w:r>
        <w:rPr>
          <w:spacing w:val="-4"/>
          <w:sz w:val="20"/>
        </w:rPr>
        <w:t> </w:t>
      </w:r>
      <w:r>
        <w:rPr>
          <w:sz w:val="20"/>
        </w:rPr>
        <w:t>без</w:t>
      </w:r>
      <w:r>
        <w:rPr>
          <w:spacing w:val="-5"/>
          <w:sz w:val="20"/>
        </w:rPr>
        <w:t> </w:t>
      </w:r>
      <w:r>
        <w:rPr>
          <w:sz w:val="20"/>
        </w:rPr>
        <w:t>података</w:t>
      </w:r>
      <w:r>
        <w:rPr>
          <w:spacing w:val="-5"/>
          <w:sz w:val="20"/>
        </w:rPr>
        <w:t> </w:t>
      </w:r>
      <w:r>
        <w:rPr>
          <w:sz w:val="20"/>
        </w:rPr>
        <w:t>за</w:t>
      </w:r>
      <w:r>
        <w:rPr>
          <w:spacing w:val="-1"/>
          <w:sz w:val="20"/>
        </w:rPr>
        <w:t> </w:t>
      </w:r>
      <w:r>
        <w:rPr>
          <w:sz w:val="20"/>
        </w:rPr>
        <w:t>АП</w:t>
      </w:r>
      <w:r>
        <w:rPr>
          <w:spacing w:val="-5"/>
          <w:sz w:val="20"/>
        </w:rPr>
        <w:t> </w:t>
      </w:r>
      <w:r>
        <w:rPr>
          <w:sz w:val="20"/>
        </w:rPr>
        <w:t>Косово</w:t>
      </w:r>
      <w:r>
        <w:rPr>
          <w:spacing w:val="-4"/>
          <w:sz w:val="20"/>
        </w:rPr>
        <w:t> </w:t>
      </w:r>
      <w:r>
        <w:rPr>
          <w:sz w:val="20"/>
        </w:rPr>
        <w:t>и</w:t>
      </w:r>
      <w:r>
        <w:rPr>
          <w:spacing w:val="-5"/>
          <w:sz w:val="20"/>
        </w:rPr>
        <w:t> </w:t>
      </w:r>
      <w:r>
        <w:rPr>
          <w:spacing w:val="-2"/>
          <w:sz w:val="20"/>
        </w:rPr>
        <w:t>Метохија</w:t>
      </w:r>
    </w:p>
    <w:p>
      <w:pPr>
        <w:spacing w:before="0"/>
        <w:ind w:left="360" w:right="0" w:firstLine="0"/>
        <w:jc w:val="both"/>
        <w:rPr>
          <w:i/>
          <w:sz w:val="20"/>
        </w:rPr>
      </w:pPr>
      <w:r>
        <w:rPr>
          <w:i/>
          <w:sz w:val="20"/>
        </w:rPr>
        <w:t>Извор:</w:t>
      </w:r>
      <w:r>
        <w:rPr>
          <w:i/>
          <w:spacing w:val="-6"/>
          <w:sz w:val="20"/>
        </w:rPr>
        <w:t> </w:t>
      </w:r>
      <w:r>
        <w:rPr>
          <w:i/>
          <w:sz w:val="20"/>
        </w:rPr>
        <w:t>АРС,</w:t>
      </w:r>
      <w:r>
        <w:rPr>
          <w:i/>
          <w:spacing w:val="-6"/>
          <w:sz w:val="20"/>
        </w:rPr>
        <w:t> </w:t>
      </w:r>
      <w:r>
        <w:rPr>
          <w:i/>
          <w:spacing w:val="-5"/>
          <w:sz w:val="20"/>
        </w:rPr>
        <w:t>РЗС</w:t>
      </w:r>
    </w:p>
    <w:p>
      <w:pPr>
        <w:pStyle w:val="BodyText"/>
        <w:spacing w:before="41"/>
        <w:ind w:left="0"/>
        <w:jc w:val="left"/>
        <w:rPr>
          <w:i/>
          <w:sz w:val="20"/>
        </w:rPr>
      </w:pPr>
    </w:p>
    <w:p>
      <w:pPr>
        <w:spacing w:before="0"/>
        <w:ind w:left="360" w:right="0" w:firstLine="0"/>
        <w:jc w:val="both"/>
        <w:rPr>
          <w:i/>
          <w:sz w:val="24"/>
        </w:rPr>
      </w:pPr>
      <w:r>
        <w:rPr>
          <w:i/>
          <w:sz w:val="24"/>
        </w:rPr>
        <w:t>Трендови</w:t>
      </w:r>
      <w:r>
        <w:rPr>
          <w:i/>
          <w:spacing w:val="-3"/>
          <w:sz w:val="24"/>
        </w:rPr>
        <w:t> </w:t>
      </w:r>
      <w:r>
        <w:rPr>
          <w:i/>
          <w:sz w:val="24"/>
        </w:rPr>
        <w:t>у</w:t>
      </w:r>
      <w:r>
        <w:rPr>
          <w:i/>
          <w:spacing w:val="-3"/>
          <w:sz w:val="24"/>
        </w:rPr>
        <w:t> </w:t>
      </w:r>
      <w:r>
        <w:rPr>
          <w:i/>
          <w:sz w:val="24"/>
        </w:rPr>
        <w:t>структури </w:t>
      </w:r>
      <w:r>
        <w:rPr>
          <w:i/>
          <w:spacing w:val="-2"/>
          <w:sz w:val="24"/>
        </w:rPr>
        <w:t>запослености</w:t>
      </w:r>
    </w:p>
    <w:p>
      <w:pPr>
        <w:pStyle w:val="BodyText"/>
        <w:spacing w:before="121"/>
        <w:ind w:right="712" w:firstLine="719"/>
      </w:pPr>
      <w:r>
        <w:rPr>
          <w:b/>
        </w:rPr>
        <w:t>Неформална</w:t>
      </w:r>
      <w:r>
        <w:rPr>
          <w:b/>
          <w:spacing w:val="-6"/>
        </w:rPr>
        <w:t> </w:t>
      </w:r>
      <w:r>
        <w:rPr>
          <w:b/>
        </w:rPr>
        <w:t>запосленост</w:t>
      </w:r>
      <w:r>
        <w:rPr>
          <w:vertAlign w:val="superscript"/>
        </w:rPr>
        <w:t>14</w:t>
      </w:r>
      <w:r>
        <w:rPr>
          <w:spacing w:val="-3"/>
          <w:vertAlign w:val="baseline"/>
        </w:rPr>
        <w:t> </w:t>
      </w:r>
      <w:r>
        <w:rPr>
          <w:vertAlign w:val="baseline"/>
        </w:rPr>
        <w:t>у</w:t>
      </w:r>
      <w:r>
        <w:rPr>
          <w:spacing w:val="-13"/>
          <w:vertAlign w:val="baseline"/>
        </w:rPr>
        <w:t> </w:t>
      </w:r>
      <w:r>
        <w:rPr>
          <w:vertAlign w:val="baseline"/>
        </w:rPr>
        <w:t>Србији</w:t>
      </w:r>
      <w:r>
        <w:rPr>
          <w:spacing w:val="-5"/>
          <w:vertAlign w:val="baseline"/>
        </w:rPr>
        <w:t> </w:t>
      </w:r>
      <w:r>
        <w:rPr>
          <w:vertAlign w:val="baseline"/>
        </w:rPr>
        <w:t>је</w:t>
      </w:r>
      <w:r>
        <w:rPr>
          <w:spacing w:val="-7"/>
          <w:vertAlign w:val="baseline"/>
        </w:rPr>
        <w:t> </w:t>
      </w:r>
      <w:r>
        <w:rPr>
          <w:vertAlign w:val="baseline"/>
        </w:rPr>
        <w:t>релативно</w:t>
      </w:r>
      <w:r>
        <w:rPr>
          <w:spacing w:val="-7"/>
          <w:vertAlign w:val="baseline"/>
        </w:rPr>
        <w:t> </w:t>
      </w:r>
      <w:r>
        <w:rPr>
          <w:vertAlign w:val="baseline"/>
        </w:rPr>
        <w:t>висока,</w:t>
      </w:r>
      <w:r>
        <w:rPr>
          <w:spacing w:val="-7"/>
          <w:vertAlign w:val="baseline"/>
        </w:rPr>
        <w:t> </w:t>
      </w:r>
      <w:r>
        <w:rPr>
          <w:vertAlign w:val="baseline"/>
        </w:rPr>
        <w:t>али</w:t>
      </w:r>
      <w:r>
        <w:rPr>
          <w:spacing w:val="-6"/>
          <w:vertAlign w:val="baseline"/>
        </w:rPr>
        <w:t> </w:t>
      </w:r>
      <w:r>
        <w:rPr>
          <w:vertAlign w:val="baseline"/>
        </w:rPr>
        <w:t>се</w:t>
      </w:r>
      <w:r>
        <w:rPr>
          <w:spacing w:val="-8"/>
          <w:vertAlign w:val="baseline"/>
        </w:rPr>
        <w:t> </w:t>
      </w:r>
      <w:r>
        <w:rPr>
          <w:vertAlign w:val="baseline"/>
        </w:rPr>
        <w:t>последњих</w:t>
      </w:r>
      <w:r>
        <w:rPr>
          <w:spacing w:val="-7"/>
          <w:vertAlign w:val="baseline"/>
        </w:rPr>
        <w:t> </w:t>
      </w:r>
      <w:r>
        <w:rPr>
          <w:vertAlign w:val="baseline"/>
        </w:rPr>
        <w:t>година уочава тренд пада неформалне и пораста формалне запослености. Око 429 хиљада лица радног</w:t>
      </w:r>
      <w:r>
        <w:rPr>
          <w:spacing w:val="-7"/>
          <w:vertAlign w:val="baseline"/>
        </w:rPr>
        <w:t> </w:t>
      </w:r>
      <w:r>
        <w:rPr>
          <w:vertAlign w:val="baseline"/>
        </w:rPr>
        <w:t>узраста</w:t>
      </w:r>
      <w:r>
        <w:rPr>
          <w:spacing w:val="-8"/>
          <w:vertAlign w:val="baseline"/>
        </w:rPr>
        <w:t> </w:t>
      </w:r>
      <w:r>
        <w:rPr>
          <w:vertAlign w:val="baseline"/>
        </w:rPr>
        <w:t>било</w:t>
      </w:r>
      <w:r>
        <w:rPr>
          <w:spacing w:val="-9"/>
          <w:vertAlign w:val="baseline"/>
        </w:rPr>
        <w:t> </w:t>
      </w:r>
      <w:r>
        <w:rPr>
          <w:vertAlign w:val="baseline"/>
        </w:rPr>
        <w:t>је</w:t>
      </w:r>
      <w:r>
        <w:rPr>
          <w:spacing w:val="-8"/>
          <w:vertAlign w:val="baseline"/>
        </w:rPr>
        <w:t> </w:t>
      </w:r>
      <w:r>
        <w:rPr>
          <w:vertAlign w:val="baseline"/>
        </w:rPr>
        <w:t>неформално</w:t>
      </w:r>
      <w:r>
        <w:rPr>
          <w:spacing w:val="-10"/>
          <w:vertAlign w:val="baseline"/>
        </w:rPr>
        <w:t> </w:t>
      </w:r>
      <w:r>
        <w:rPr>
          <w:vertAlign w:val="baseline"/>
        </w:rPr>
        <w:t>запослено</w:t>
      </w:r>
      <w:r>
        <w:rPr>
          <w:spacing w:val="-10"/>
          <w:vertAlign w:val="baseline"/>
        </w:rPr>
        <w:t> </w:t>
      </w:r>
      <w:r>
        <w:rPr>
          <w:vertAlign w:val="baseline"/>
        </w:rPr>
        <w:t>у</w:t>
      </w:r>
      <w:r>
        <w:rPr>
          <w:spacing w:val="-12"/>
          <w:vertAlign w:val="baseline"/>
        </w:rPr>
        <w:t> </w:t>
      </w:r>
      <w:r>
        <w:rPr>
          <w:vertAlign w:val="baseline"/>
        </w:rPr>
        <w:t>2019.</w:t>
      </w:r>
      <w:r>
        <w:rPr>
          <w:spacing w:val="-8"/>
          <w:vertAlign w:val="baseline"/>
        </w:rPr>
        <w:t> </w:t>
      </w:r>
      <w:r>
        <w:rPr>
          <w:vertAlign w:val="baseline"/>
        </w:rPr>
        <w:t>години,</w:t>
      </w:r>
      <w:r>
        <w:rPr>
          <w:spacing w:val="-10"/>
          <w:vertAlign w:val="baseline"/>
        </w:rPr>
        <w:t> </w:t>
      </w:r>
      <w:r>
        <w:rPr>
          <w:vertAlign w:val="baseline"/>
        </w:rPr>
        <w:t>што,</w:t>
      </w:r>
      <w:r>
        <w:rPr>
          <w:spacing w:val="-9"/>
          <w:vertAlign w:val="baseline"/>
        </w:rPr>
        <w:t> </w:t>
      </w:r>
      <w:r>
        <w:rPr>
          <w:vertAlign w:val="baseline"/>
        </w:rPr>
        <w:t>другим</w:t>
      </w:r>
      <w:r>
        <w:rPr>
          <w:spacing w:val="-10"/>
          <w:vertAlign w:val="baseline"/>
        </w:rPr>
        <w:t> </w:t>
      </w:r>
      <w:r>
        <w:rPr>
          <w:vertAlign w:val="baseline"/>
        </w:rPr>
        <w:t>речима,</w:t>
      </w:r>
      <w:r>
        <w:rPr>
          <w:spacing w:val="-10"/>
          <w:vertAlign w:val="baseline"/>
        </w:rPr>
        <w:t> </w:t>
      </w:r>
      <w:r>
        <w:rPr>
          <w:vertAlign w:val="baseline"/>
        </w:rPr>
        <w:t>значи</w:t>
      </w:r>
      <w:r>
        <w:rPr>
          <w:spacing w:val="-9"/>
          <w:vertAlign w:val="baseline"/>
        </w:rPr>
        <w:t> </w:t>
      </w:r>
      <w:r>
        <w:rPr>
          <w:vertAlign w:val="baseline"/>
        </w:rPr>
        <w:t>да је скоро свака шеста запослена особа неформално запослена (стопа неформалне запослености износи 15,7%). Неформална запосленост је смањена за 36 хиљада (-7,8%) у периоду 2015-2019. године, док је у истом периоду формална запосленост порасла за 299 хиљада (14,9%). Неформална запосленост је посебно изражена у пољопривреди, где неформално запослени чине нешто мање од половине (48,4%) укупног броја неформално запослених</w:t>
      </w:r>
      <w:r>
        <w:rPr>
          <w:spacing w:val="-15"/>
          <w:vertAlign w:val="baseline"/>
        </w:rPr>
        <w:t> </w:t>
      </w:r>
      <w:r>
        <w:rPr>
          <w:vertAlign w:val="baseline"/>
        </w:rPr>
        <w:t>у</w:t>
      </w:r>
      <w:r>
        <w:rPr>
          <w:spacing w:val="-15"/>
          <w:vertAlign w:val="baseline"/>
        </w:rPr>
        <w:t> </w:t>
      </w:r>
      <w:r>
        <w:rPr>
          <w:vertAlign w:val="baseline"/>
        </w:rPr>
        <w:t>овом</w:t>
      </w:r>
      <w:r>
        <w:rPr>
          <w:spacing w:val="-15"/>
          <w:vertAlign w:val="baseline"/>
        </w:rPr>
        <w:t> </w:t>
      </w:r>
      <w:r>
        <w:rPr>
          <w:vertAlign w:val="baseline"/>
        </w:rPr>
        <w:t>сектору</w:t>
      </w:r>
      <w:r>
        <w:rPr>
          <w:spacing w:val="-15"/>
          <w:vertAlign w:val="baseline"/>
        </w:rPr>
        <w:t> </w:t>
      </w:r>
      <w:r>
        <w:rPr>
          <w:vertAlign w:val="baseline"/>
        </w:rPr>
        <w:t>у</w:t>
      </w:r>
      <w:r>
        <w:rPr>
          <w:spacing w:val="-15"/>
          <w:vertAlign w:val="baseline"/>
        </w:rPr>
        <w:t> </w:t>
      </w:r>
      <w:r>
        <w:rPr>
          <w:vertAlign w:val="baseline"/>
        </w:rPr>
        <w:t>2019.</w:t>
      </w:r>
      <w:r>
        <w:rPr>
          <w:spacing w:val="-15"/>
          <w:vertAlign w:val="baseline"/>
        </w:rPr>
        <w:t> </w:t>
      </w:r>
      <w:r>
        <w:rPr>
          <w:vertAlign w:val="baseline"/>
        </w:rPr>
        <w:t>години;</w:t>
      </w:r>
      <w:r>
        <w:rPr>
          <w:spacing w:val="-15"/>
          <w:vertAlign w:val="baseline"/>
        </w:rPr>
        <w:t> </w:t>
      </w:r>
      <w:r>
        <w:rPr>
          <w:vertAlign w:val="baseline"/>
        </w:rPr>
        <w:t>високо</w:t>
      </w:r>
      <w:r>
        <w:rPr>
          <w:spacing w:val="-15"/>
          <w:vertAlign w:val="baseline"/>
        </w:rPr>
        <w:t> </w:t>
      </w:r>
      <w:r>
        <w:rPr>
          <w:vertAlign w:val="baseline"/>
        </w:rPr>
        <w:t>учешће</w:t>
      </w:r>
      <w:r>
        <w:rPr>
          <w:spacing w:val="-15"/>
          <w:vertAlign w:val="baseline"/>
        </w:rPr>
        <w:t> </w:t>
      </w:r>
      <w:r>
        <w:rPr>
          <w:vertAlign w:val="baseline"/>
        </w:rPr>
        <w:t>постоји</w:t>
      </w:r>
      <w:r>
        <w:rPr>
          <w:spacing w:val="-15"/>
          <w:vertAlign w:val="baseline"/>
        </w:rPr>
        <w:t> </w:t>
      </w:r>
      <w:r>
        <w:rPr>
          <w:vertAlign w:val="baseline"/>
        </w:rPr>
        <w:t>и</w:t>
      </w:r>
      <w:r>
        <w:rPr>
          <w:spacing w:val="-15"/>
          <w:vertAlign w:val="baseline"/>
        </w:rPr>
        <w:t> </w:t>
      </w:r>
      <w:r>
        <w:rPr>
          <w:vertAlign w:val="baseline"/>
        </w:rPr>
        <w:t>у</w:t>
      </w:r>
      <w:r>
        <w:rPr>
          <w:spacing w:val="-15"/>
          <w:vertAlign w:val="baseline"/>
        </w:rPr>
        <w:t> </w:t>
      </w:r>
      <w:r>
        <w:rPr>
          <w:vertAlign w:val="baseline"/>
        </w:rPr>
        <w:t>грађевинарству</w:t>
      </w:r>
      <w:r>
        <w:rPr>
          <w:spacing w:val="-15"/>
          <w:vertAlign w:val="baseline"/>
        </w:rPr>
        <w:t> </w:t>
      </w:r>
      <w:r>
        <w:rPr>
          <w:vertAlign w:val="baseline"/>
        </w:rPr>
        <w:t>(32%), док је неформална запосленост у сектору yслуга на релативно ниском нивоу (14,3%)</w:t>
      </w:r>
      <w:r>
        <w:rPr>
          <w:vertAlign w:val="superscript"/>
        </w:rPr>
        <w:t>15</w:t>
      </w:r>
      <w:r>
        <w:rPr>
          <w:vertAlign w:val="baseline"/>
        </w:rPr>
        <w:t>. Стопа</w:t>
      </w:r>
      <w:r>
        <w:rPr>
          <w:spacing w:val="-7"/>
          <w:vertAlign w:val="baseline"/>
        </w:rPr>
        <w:t> </w:t>
      </w:r>
      <w:r>
        <w:rPr>
          <w:vertAlign w:val="baseline"/>
        </w:rPr>
        <w:t>неформалне</w:t>
      </w:r>
      <w:r>
        <w:rPr>
          <w:spacing w:val="-7"/>
          <w:vertAlign w:val="baseline"/>
        </w:rPr>
        <w:t> </w:t>
      </w:r>
      <w:r>
        <w:rPr>
          <w:vertAlign w:val="baseline"/>
        </w:rPr>
        <w:t>запослености</w:t>
      </w:r>
      <w:r>
        <w:rPr>
          <w:spacing w:val="-5"/>
          <w:vertAlign w:val="baseline"/>
        </w:rPr>
        <w:t> </w:t>
      </w:r>
      <w:r>
        <w:rPr>
          <w:vertAlign w:val="baseline"/>
        </w:rPr>
        <w:t>жена</w:t>
      </w:r>
      <w:r>
        <w:rPr>
          <w:spacing w:val="-5"/>
          <w:vertAlign w:val="baseline"/>
        </w:rPr>
        <w:t> </w:t>
      </w:r>
      <w:r>
        <w:rPr>
          <w:vertAlign w:val="baseline"/>
        </w:rPr>
        <w:t>радног</w:t>
      </w:r>
      <w:r>
        <w:rPr>
          <w:spacing w:val="-5"/>
          <w:vertAlign w:val="baseline"/>
        </w:rPr>
        <w:t> </w:t>
      </w:r>
      <w:r>
        <w:rPr>
          <w:vertAlign w:val="baseline"/>
        </w:rPr>
        <w:t>узраста</w:t>
      </w:r>
      <w:r>
        <w:rPr>
          <w:spacing w:val="-6"/>
          <w:vertAlign w:val="baseline"/>
        </w:rPr>
        <w:t> </w:t>
      </w:r>
      <w:r>
        <w:rPr>
          <w:vertAlign w:val="baseline"/>
        </w:rPr>
        <w:t>(15,6%)</w:t>
      </w:r>
      <w:r>
        <w:rPr>
          <w:spacing w:val="-7"/>
          <w:vertAlign w:val="baseline"/>
        </w:rPr>
        <w:t> </w:t>
      </w:r>
      <w:r>
        <w:rPr>
          <w:vertAlign w:val="baseline"/>
        </w:rPr>
        <w:t>је</w:t>
      </w:r>
      <w:r>
        <w:rPr>
          <w:spacing w:val="-6"/>
          <w:vertAlign w:val="baseline"/>
        </w:rPr>
        <w:t> </w:t>
      </w:r>
      <w:r>
        <w:rPr>
          <w:vertAlign w:val="baseline"/>
        </w:rPr>
        <w:t>нижа</w:t>
      </w:r>
      <w:r>
        <w:rPr>
          <w:spacing w:val="-7"/>
          <w:vertAlign w:val="baseline"/>
        </w:rPr>
        <w:t> </w:t>
      </w:r>
      <w:r>
        <w:rPr>
          <w:vertAlign w:val="baseline"/>
        </w:rPr>
        <w:t>од</w:t>
      </w:r>
      <w:r>
        <w:rPr>
          <w:spacing w:val="-6"/>
          <w:vertAlign w:val="baseline"/>
        </w:rPr>
        <w:t> </w:t>
      </w:r>
      <w:r>
        <w:rPr>
          <w:vertAlign w:val="baseline"/>
        </w:rPr>
        <w:t>стопе</w:t>
      </w:r>
      <w:r>
        <w:rPr>
          <w:spacing w:val="-7"/>
          <w:vertAlign w:val="baseline"/>
        </w:rPr>
        <w:t> </w:t>
      </w:r>
      <w:r>
        <w:rPr>
          <w:vertAlign w:val="baseline"/>
        </w:rPr>
        <w:t>неформалне запослености</w:t>
      </w:r>
      <w:r>
        <w:rPr>
          <w:spacing w:val="-5"/>
          <w:vertAlign w:val="baseline"/>
        </w:rPr>
        <w:t> </w:t>
      </w:r>
      <w:r>
        <w:rPr>
          <w:vertAlign w:val="baseline"/>
        </w:rPr>
        <w:t>мушкараца</w:t>
      </w:r>
      <w:r>
        <w:rPr>
          <w:spacing w:val="-8"/>
          <w:vertAlign w:val="baseline"/>
        </w:rPr>
        <w:t> </w:t>
      </w:r>
      <w:r>
        <w:rPr>
          <w:vertAlign w:val="baseline"/>
        </w:rPr>
        <w:t>(15,8%),</w:t>
      </w:r>
      <w:r>
        <w:rPr>
          <w:spacing w:val="-7"/>
          <w:vertAlign w:val="baseline"/>
        </w:rPr>
        <w:t> </w:t>
      </w:r>
      <w:r>
        <w:rPr>
          <w:vertAlign w:val="baseline"/>
        </w:rPr>
        <w:t>што</w:t>
      </w:r>
      <w:r>
        <w:rPr>
          <w:spacing w:val="-6"/>
          <w:vertAlign w:val="baseline"/>
        </w:rPr>
        <w:t> </w:t>
      </w:r>
      <w:r>
        <w:rPr>
          <w:vertAlign w:val="baseline"/>
        </w:rPr>
        <w:t>је</w:t>
      </w:r>
      <w:r>
        <w:rPr>
          <w:spacing w:val="-7"/>
          <w:vertAlign w:val="baseline"/>
        </w:rPr>
        <w:t> </w:t>
      </w:r>
      <w:r>
        <w:rPr>
          <w:vertAlign w:val="baseline"/>
        </w:rPr>
        <w:t>резултат</w:t>
      </w:r>
      <w:r>
        <w:rPr>
          <w:spacing w:val="-6"/>
          <w:vertAlign w:val="baseline"/>
        </w:rPr>
        <w:t> </w:t>
      </w:r>
      <w:r>
        <w:rPr>
          <w:vertAlign w:val="baseline"/>
        </w:rPr>
        <w:t>већег</w:t>
      </w:r>
      <w:r>
        <w:rPr>
          <w:spacing w:val="-7"/>
          <w:vertAlign w:val="baseline"/>
        </w:rPr>
        <w:t> </w:t>
      </w:r>
      <w:r>
        <w:rPr>
          <w:vertAlign w:val="baseline"/>
        </w:rPr>
        <w:t>раста</w:t>
      </w:r>
      <w:r>
        <w:rPr>
          <w:spacing w:val="-7"/>
          <w:vertAlign w:val="baseline"/>
        </w:rPr>
        <w:t> </w:t>
      </w:r>
      <w:r>
        <w:rPr>
          <w:vertAlign w:val="baseline"/>
        </w:rPr>
        <w:t>формалне</w:t>
      </w:r>
      <w:r>
        <w:rPr>
          <w:spacing w:val="-8"/>
          <w:vertAlign w:val="baseline"/>
        </w:rPr>
        <w:t> </w:t>
      </w:r>
      <w:r>
        <w:rPr>
          <w:vertAlign w:val="baseline"/>
        </w:rPr>
        <w:t>запослености</w:t>
      </w:r>
      <w:r>
        <w:rPr>
          <w:spacing w:val="-5"/>
          <w:vertAlign w:val="baseline"/>
        </w:rPr>
        <w:t> </w:t>
      </w:r>
      <w:r>
        <w:rPr>
          <w:vertAlign w:val="baseline"/>
        </w:rPr>
        <w:t>жена (19,4%) у периоду 2015-2019. године, него што је био раст формалне запослености мушкараца (11,5%)</w:t>
      </w:r>
      <w:r>
        <w:rPr>
          <w:vertAlign w:val="superscript"/>
        </w:rPr>
        <w:t>16</w:t>
      </w:r>
      <w:r>
        <w:rPr>
          <w:vertAlign w:val="baseline"/>
        </w:rPr>
        <w:t>. Структура неформалне запослености се, уколико се посматра професионални статус, битно разликује: неформално запослене жене у већини су ангажоване као помажући чланови домаћинства, док су неформално запослени мушкарци претежно</w:t>
      </w:r>
      <w:r>
        <w:rPr>
          <w:spacing w:val="46"/>
          <w:vertAlign w:val="baseline"/>
        </w:rPr>
        <w:t> </w:t>
      </w:r>
      <w:r>
        <w:rPr>
          <w:vertAlign w:val="baseline"/>
        </w:rPr>
        <w:t>самозапослени.</w:t>
      </w:r>
      <w:r>
        <w:rPr>
          <w:spacing w:val="46"/>
          <w:vertAlign w:val="baseline"/>
        </w:rPr>
        <w:t> </w:t>
      </w:r>
      <w:r>
        <w:rPr>
          <w:vertAlign w:val="baseline"/>
        </w:rPr>
        <w:t>Положај</w:t>
      </w:r>
      <w:r>
        <w:rPr>
          <w:spacing w:val="47"/>
          <w:vertAlign w:val="baseline"/>
        </w:rPr>
        <w:t> </w:t>
      </w:r>
      <w:r>
        <w:rPr>
          <w:vertAlign w:val="baseline"/>
        </w:rPr>
        <w:t>ових</w:t>
      </w:r>
      <w:r>
        <w:rPr>
          <w:spacing w:val="45"/>
          <w:vertAlign w:val="baseline"/>
        </w:rPr>
        <w:t> </w:t>
      </w:r>
      <w:r>
        <w:rPr>
          <w:vertAlign w:val="baseline"/>
        </w:rPr>
        <w:t>жена</w:t>
      </w:r>
      <w:r>
        <w:rPr>
          <w:spacing w:val="44"/>
          <w:vertAlign w:val="baseline"/>
        </w:rPr>
        <w:t> </w:t>
      </w:r>
      <w:r>
        <w:rPr>
          <w:vertAlign w:val="baseline"/>
        </w:rPr>
        <w:t>је</w:t>
      </w:r>
      <w:r>
        <w:rPr>
          <w:spacing w:val="46"/>
          <w:vertAlign w:val="baseline"/>
        </w:rPr>
        <w:t> </w:t>
      </w:r>
      <w:r>
        <w:rPr>
          <w:vertAlign w:val="baseline"/>
        </w:rPr>
        <w:t>посебно</w:t>
      </w:r>
      <w:r>
        <w:rPr>
          <w:spacing w:val="45"/>
          <w:vertAlign w:val="baseline"/>
        </w:rPr>
        <w:t> </w:t>
      </w:r>
      <w:r>
        <w:rPr>
          <w:vertAlign w:val="baseline"/>
        </w:rPr>
        <w:t>рањив,</w:t>
      </w:r>
      <w:r>
        <w:rPr>
          <w:spacing w:val="46"/>
          <w:vertAlign w:val="baseline"/>
        </w:rPr>
        <w:t> </w:t>
      </w:r>
      <w:r>
        <w:rPr>
          <w:vertAlign w:val="baseline"/>
        </w:rPr>
        <w:t>јер</w:t>
      </w:r>
      <w:r>
        <w:rPr>
          <w:spacing w:val="45"/>
          <w:vertAlign w:val="baseline"/>
        </w:rPr>
        <w:t> </w:t>
      </w:r>
      <w:r>
        <w:rPr>
          <w:vertAlign w:val="baseline"/>
        </w:rPr>
        <w:t>оне</w:t>
      </w:r>
      <w:r>
        <w:rPr>
          <w:spacing w:val="44"/>
          <w:vertAlign w:val="baseline"/>
        </w:rPr>
        <w:t> </w:t>
      </w:r>
      <w:r>
        <w:rPr>
          <w:vertAlign w:val="baseline"/>
        </w:rPr>
        <w:t>не</w:t>
      </w:r>
      <w:r>
        <w:rPr>
          <w:spacing w:val="45"/>
          <w:vertAlign w:val="baseline"/>
        </w:rPr>
        <w:t> </w:t>
      </w:r>
      <w:r>
        <w:rPr>
          <w:vertAlign w:val="baseline"/>
        </w:rPr>
        <w:t>само</w:t>
      </w:r>
      <w:r>
        <w:rPr>
          <w:spacing w:val="45"/>
          <w:vertAlign w:val="baseline"/>
        </w:rPr>
        <w:t> </w:t>
      </w:r>
      <w:r>
        <w:rPr>
          <w:vertAlign w:val="baseline"/>
        </w:rPr>
        <w:t>да</w:t>
      </w:r>
      <w:r>
        <w:rPr>
          <w:spacing w:val="46"/>
          <w:vertAlign w:val="baseline"/>
        </w:rPr>
        <w:t> </w:t>
      </w:r>
      <w:r>
        <w:rPr>
          <w:spacing w:val="-5"/>
          <w:vertAlign w:val="baseline"/>
        </w:rPr>
        <w:t>не</w:t>
      </w:r>
    </w:p>
    <w:p>
      <w:pPr>
        <w:pStyle w:val="BodyText"/>
        <w:spacing w:before="76"/>
        <w:ind w:left="0"/>
        <w:jc w:val="left"/>
        <w:rPr>
          <w:sz w:val="20"/>
        </w:rPr>
      </w:pPr>
      <w:r>
        <w:rPr>
          <w:sz w:val="20"/>
        </w:rPr>
        <mc:AlternateContent>
          <mc:Choice Requires="wps">
            <w:drawing>
              <wp:anchor distT="0" distB="0" distL="0" distR="0" allowOverlap="1" layoutInCell="1" locked="0" behindDoc="1" simplePos="0" relativeHeight="487591936">
                <wp:simplePos x="0" y="0"/>
                <wp:positionH relativeFrom="page">
                  <wp:posOffset>914704</wp:posOffset>
                </wp:positionH>
                <wp:positionV relativeFrom="paragraph">
                  <wp:posOffset>209855</wp:posOffset>
                </wp:positionV>
                <wp:extent cx="1829435" cy="952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524059pt;width:144.020pt;height:.71997pt;mso-position-horizontal-relative:page;mso-position-vertical-relative:paragraph;z-index:-15724544;mso-wrap-distance-left:0;mso-wrap-distance-right:0" id="docshape12" filled="true" fillcolor="#000000" stroked="false">
                <v:fill type="solid"/>
                <w10:wrap type="topAndBottom"/>
              </v:rect>
            </w:pict>
          </mc:Fallback>
        </mc:AlternateContent>
      </w:r>
    </w:p>
    <w:p>
      <w:pPr>
        <w:spacing w:line="244" w:lineRule="auto" w:before="115"/>
        <w:ind w:left="360" w:right="725" w:firstLine="0"/>
        <w:jc w:val="both"/>
        <w:rPr>
          <w:sz w:val="18"/>
        </w:rPr>
      </w:pPr>
      <w:r>
        <w:rPr>
          <w:sz w:val="18"/>
          <w:vertAlign w:val="superscript"/>
        </w:rPr>
        <w:t>14</w:t>
      </w:r>
      <w:r>
        <w:rPr>
          <w:spacing w:val="-9"/>
          <w:sz w:val="18"/>
          <w:vertAlign w:val="baseline"/>
        </w:rPr>
        <w:t> </w:t>
      </w:r>
      <w:r>
        <w:rPr>
          <w:sz w:val="18"/>
          <w:vertAlign w:val="baseline"/>
        </w:rPr>
        <w:t>Неформална</w:t>
      </w:r>
      <w:r>
        <w:rPr>
          <w:spacing w:val="-10"/>
          <w:sz w:val="18"/>
          <w:vertAlign w:val="baseline"/>
        </w:rPr>
        <w:t> </w:t>
      </w:r>
      <w:r>
        <w:rPr>
          <w:sz w:val="18"/>
          <w:vertAlign w:val="baseline"/>
        </w:rPr>
        <w:t>запосленост</w:t>
      </w:r>
      <w:r>
        <w:rPr>
          <w:spacing w:val="-10"/>
          <w:sz w:val="18"/>
          <w:vertAlign w:val="baseline"/>
        </w:rPr>
        <w:t> </w:t>
      </w:r>
      <w:r>
        <w:rPr>
          <w:sz w:val="18"/>
          <w:vertAlign w:val="baseline"/>
        </w:rPr>
        <w:t>се</w:t>
      </w:r>
      <w:r>
        <w:rPr>
          <w:spacing w:val="-11"/>
          <w:sz w:val="18"/>
          <w:vertAlign w:val="baseline"/>
        </w:rPr>
        <w:t> </w:t>
      </w:r>
      <w:r>
        <w:rPr>
          <w:sz w:val="18"/>
          <w:vertAlign w:val="baseline"/>
        </w:rPr>
        <w:t>односи</w:t>
      </w:r>
      <w:r>
        <w:rPr>
          <w:spacing w:val="-10"/>
          <w:sz w:val="18"/>
          <w:vertAlign w:val="baseline"/>
        </w:rPr>
        <w:t> </w:t>
      </w:r>
      <w:r>
        <w:rPr>
          <w:sz w:val="18"/>
          <w:vertAlign w:val="baseline"/>
        </w:rPr>
        <w:t>на</w:t>
      </w:r>
      <w:r>
        <w:rPr>
          <w:spacing w:val="-11"/>
          <w:sz w:val="18"/>
          <w:vertAlign w:val="baseline"/>
        </w:rPr>
        <w:t> </w:t>
      </w:r>
      <w:r>
        <w:rPr>
          <w:sz w:val="18"/>
          <w:vertAlign w:val="baseline"/>
        </w:rPr>
        <w:t>учешће</w:t>
      </w:r>
      <w:r>
        <w:rPr>
          <w:spacing w:val="-11"/>
          <w:sz w:val="18"/>
          <w:vertAlign w:val="baseline"/>
        </w:rPr>
        <w:t> </w:t>
      </w:r>
      <w:r>
        <w:rPr>
          <w:sz w:val="18"/>
          <w:vertAlign w:val="baseline"/>
        </w:rPr>
        <w:t>лица</w:t>
      </w:r>
      <w:r>
        <w:rPr>
          <w:spacing w:val="-11"/>
          <w:sz w:val="18"/>
          <w:vertAlign w:val="baseline"/>
        </w:rPr>
        <w:t> </w:t>
      </w:r>
      <w:r>
        <w:rPr>
          <w:sz w:val="18"/>
          <w:vertAlign w:val="baseline"/>
        </w:rPr>
        <w:t>која</w:t>
      </w:r>
      <w:r>
        <w:rPr>
          <w:spacing w:val="-10"/>
          <w:sz w:val="18"/>
          <w:vertAlign w:val="baseline"/>
        </w:rPr>
        <w:t> </w:t>
      </w:r>
      <w:r>
        <w:rPr>
          <w:sz w:val="18"/>
          <w:vertAlign w:val="baseline"/>
        </w:rPr>
        <w:t>раде</w:t>
      </w:r>
      <w:r>
        <w:rPr>
          <w:spacing w:val="-11"/>
          <w:sz w:val="18"/>
          <w:vertAlign w:val="baseline"/>
        </w:rPr>
        <w:t> </w:t>
      </w:r>
      <w:r>
        <w:rPr>
          <w:sz w:val="18"/>
          <w:vertAlign w:val="baseline"/>
        </w:rPr>
        <w:t>без</w:t>
      </w:r>
      <w:r>
        <w:rPr>
          <w:spacing w:val="-9"/>
          <w:sz w:val="18"/>
          <w:vertAlign w:val="baseline"/>
        </w:rPr>
        <w:t> </w:t>
      </w:r>
      <w:r>
        <w:rPr>
          <w:sz w:val="18"/>
          <w:vertAlign w:val="baseline"/>
        </w:rPr>
        <w:t>формалног</w:t>
      </w:r>
      <w:r>
        <w:rPr>
          <w:spacing w:val="-10"/>
          <w:sz w:val="18"/>
          <w:vertAlign w:val="baseline"/>
        </w:rPr>
        <w:t> </w:t>
      </w:r>
      <w:r>
        <w:rPr>
          <w:sz w:val="18"/>
          <w:vertAlign w:val="baseline"/>
        </w:rPr>
        <w:t>уговора</w:t>
      </w:r>
      <w:r>
        <w:rPr>
          <w:spacing w:val="-12"/>
          <w:sz w:val="18"/>
          <w:vertAlign w:val="baseline"/>
        </w:rPr>
        <w:t> </w:t>
      </w:r>
      <w:r>
        <w:rPr>
          <w:sz w:val="18"/>
          <w:vertAlign w:val="baseline"/>
        </w:rPr>
        <w:t>о</w:t>
      </w:r>
      <w:r>
        <w:rPr>
          <w:spacing w:val="-10"/>
          <w:sz w:val="18"/>
          <w:vertAlign w:val="baseline"/>
        </w:rPr>
        <w:t> </w:t>
      </w:r>
      <w:r>
        <w:rPr>
          <w:sz w:val="18"/>
          <w:vertAlign w:val="baseline"/>
        </w:rPr>
        <w:t>раду</w:t>
      </w:r>
      <w:r>
        <w:rPr>
          <w:spacing w:val="-11"/>
          <w:sz w:val="18"/>
          <w:vertAlign w:val="baseline"/>
        </w:rPr>
        <w:t> </w:t>
      </w:r>
      <w:r>
        <w:rPr>
          <w:sz w:val="18"/>
          <w:vertAlign w:val="baseline"/>
        </w:rPr>
        <w:t>у</w:t>
      </w:r>
      <w:r>
        <w:rPr>
          <w:spacing w:val="-11"/>
          <w:sz w:val="18"/>
          <w:vertAlign w:val="baseline"/>
        </w:rPr>
        <w:t> </w:t>
      </w:r>
      <w:r>
        <w:rPr>
          <w:sz w:val="18"/>
          <w:vertAlign w:val="baseline"/>
        </w:rPr>
        <w:t>укупном</w:t>
      </w:r>
      <w:r>
        <w:rPr>
          <w:spacing w:val="-11"/>
          <w:sz w:val="18"/>
          <w:vertAlign w:val="baseline"/>
        </w:rPr>
        <w:t> </w:t>
      </w:r>
      <w:r>
        <w:rPr>
          <w:sz w:val="18"/>
          <w:vertAlign w:val="baseline"/>
        </w:rPr>
        <w:t>броју</w:t>
      </w:r>
      <w:r>
        <w:rPr>
          <w:spacing w:val="-12"/>
          <w:sz w:val="18"/>
          <w:vertAlign w:val="baseline"/>
        </w:rPr>
        <w:t> </w:t>
      </w:r>
      <w:r>
        <w:rPr>
          <w:sz w:val="18"/>
          <w:vertAlign w:val="baseline"/>
        </w:rPr>
        <w:t>запослених. Обухвата запослене у</w:t>
      </w:r>
      <w:r>
        <w:rPr>
          <w:spacing w:val="-1"/>
          <w:sz w:val="18"/>
          <w:vertAlign w:val="baseline"/>
        </w:rPr>
        <w:t> </w:t>
      </w:r>
      <w:r>
        <w:rPr>
          <w:sz w:val="18"/>
          <w:vertAlign w:val="baseline"/>
        </w:rPr>
        <w:t>нерегистрованој фирми, запослене у</w:t>
      </w:r>
      <w:r>
        <w:rPr>
          <w:spacing w:val="-1"/>
          <w:sz w:val="18"/>
          <w:vertAlign w:val="baseline"/>
        </w:rPr>
        <w:t> </w:t>
      </w:r>
      <w:r>
        <w:rPr>
          <w:sz w:val="18"/>
          <w:vertAlign w:val="baseline"/>
        </w:rPr>
        <w:t>регистрованој фирми али без формалног уговора o раду</w:t>
      </w:r>
      <w:r>
        <w:rPr>
          <w:spacing w:val="-1"/>
          <w:sz w:val="18"/>
          <w:vertAlign w:val="baseline"/>
        </w:rPr>
        <w:t> </w:t>
      </w:r>
      <w:r>
        <w:rPr>
          <w:sz w:val="18"/>
          <w:vertAlign w:val="baseline"/>
        </w:rPr>
        <w:t>и без социјалног осигурања, као и неплаћене помажуће чланове домаћинства</w:t>
      </w:r>
    </w:p>
    <w:p>
      <w:pPr>
        <w:spacing w:line="199" w:lineRule="exact" w:before="0"/>
        <w:ind w:left="360" w:right="0" w:firstLine="0"/>
        <w:jc w:val="both"/>
        <w:rPr>
          <w:sz w:val="18"/>
        </w:rPr>
      </w:pPr>
      <w:r>
        <w:rPr>
          <w:position w:val="6"/>
          <w:sz w:val="12"/>
        </w:rPr>
        <w:t>15</w:t>
      </w:r>
      <w:r>
        <w:rPr>
          <w:spacing w:val="14"/>
          <w:position w:val="6"/>
          <w:sz w:val="12"/>
        </w:rPr>
        <w:t> </w:t>
      </w:r>
      <w:r>
        <w:rPr>
          <w:sz w:val="18"/>
        </w:rPr>
        <w:t>Подаци</w:t>
      </w:r>
      <w:r>
        <w:rPr>
          <w:spacing w:val="-2"/>
          <w:sz w:val="18"/>
        </w:rPr>
        <w:t> </w:t>
      </w:r>
      <w:r>
        <w:rPr>
          <w:sz w:val="18"/>
        </w:rPr>
        <w:t>се</w:t>
      </w:r>
      <w:r>
        <w:rPr>
          <w:spacing w:val="-2"/>
          <w:sz w:val="18"/>
        </w:rPr>
        <w:t> </w:t>
      </w:r>
      <w:r>
        <w:rPr>
          <w:sz w:val="18"/>
        </w:rPr>
        <w:t>односе</w:t>
      </w:r>
      <w:r>
        <w:rPr>
          <w:spacing w:val="-2"/>
          <w:sz w:val="18"/>
        </w:rPr>
        <w:t> </w:t>
      </w:r>
      <w:r>
        <w:rPr>
          <w:sz w:val="18"/>
        </w:rPr>
        <w:t>на</w:t>
      </w:r>
      <w:r>
        <w:rPr>
          <w:spacing w:val="-1"/>
          <w:sz w:val="18"/>
        </w:rPr>
        <w:t> </w:t>
      </w:r>
      <w:r>
        <w:rPr>
          <w:sz w:val="18"/>
        </w:rPr>
        <w:t>становништво</w:t>
      </w:r>
      <w:r>
        <w:rPr>
          <w:spacing w:val="-1"/>
          <w:sz w:val="18"/>
        </w:rPr>
        <w:t> </w:t>
      </w:r>
      <w:r>
        <w:rPr>
          <w:sz w:val="18"/>
        </w:rPr>
        <w:t>старости</w:t>
      </w:r>
      <w:r>
        <w:rPr>
          <w:spacing w:val="-3"/>
          <w:sz w:val="18"/>
        </w:rPr>
        <w:t> </w:t>
      </w:r>
      <w:r>
        <w:rPr>
          <w:sz w:val="18"/>
        </w:rPr>
        <w:t>15</w:t>
      </w:r>
      <w:r>
        <w:rPr>
          <w:spacing w:val="-2"/>
          <w:sz w:val="18"/>
        </w:rPr>
        <w:t> </w:t>
      </w:r>
      <w:r>
        <w:rPr>
          <w:sz w:val="18"/>
        </w:rPr>
        <w:t>и</w:t>
      </w:r>
      <w:r>
        <w:rPr>
          <w:spacing w:val="-2"/>
          <w:sz w:val="18"/>
        </w:rPr>
        <w:t> </w:t>
      </w:r>
      <w:r>
        <w:rPr>
          <w:sz w:val="18"/>
        </w:rPr>
        <w:t>више </w:t>
      </w:r>
      <w:r>
        <w:rPr>
          <w:spacing w:val="-2"/>
          <w:sz w:val="18"/>
        </w:rPr>
        <w:t>година</w:t>
      </w:r>
    </w:p>
    <w:p>
      <w:pPr>
        <w:spacing w:before="0"/>
        <w:ind w:left="360" w:right="716" w:firstLine="0"/>
        <w:jc w:val="both"/>
        <w:rPr>
          <w:sz w:val="18"/>
        </w:rPr>
      </w:pPr>
      <w:r>
        <w:rPr>
          <w:position w:val="6"/>
          <w:sz w:val="12"/>
        </w:rPr>
        <w:t>16</w:t>
      </w:r>
      <w:r>
        <w:rPr>
          <w:spacing w:val="27"/>
          <w:position w:val="6"/>
          <w:sz w:val="12"/>
        </w:rPr>
        <w:t> </w:t>
      </w:r>
      <w:r>
        <w:rPr>
          <w:sz w:val="18"/>
        </w:rPr>
        <w:t>У истом периоду, неформална запосленост жена радног узраста се смањила за 7,6%, док се неформална запосленост мушкараца смањила за 8%</w:t>
      </w:r>
    </w:p>
    <w:p>
      <w:pPr>
        <w:spacing w:after="0"/>
        <w:jc w:val="both"/>
        <w:rPr>
          <w:sz w:val="18"/>
        </w:rPr>
        <w:sectPr>
          <w:pgSz w:w="12240" w:h="15840"/>
          <w:pgMar w:header="0" w:footer="702" w:top="1360" w:bottom="900" w:left="1080" w:right="720"/>
        </w:sectPr>
      </w:pPr>
    </w:p>
    <w:p>
      <w:pPr>
        <w:pStyle w:val="BodyText"/>
        <w:spacing w:before="72"/>
        <w:ind w:right="718"/>
      </w:pPr>
      <w:r>
        <w:rPr/>
        <w:t>остварују права из формалног радног односа (као ни остала лица која су неформално запослена), већ нису ни плаћене за свој рад.</w:t>
      </w:r>
    </w:p>
    <w:p>
      <w:pPr>
        <w:pStyle w:val="BodyText"/>
        <w:spacing w:before="120"/>
        <w:ind w:right="713" w:firstLine="719"/>
      </w:pPr>
      <w:r>
        <w:rPr/>
        <w:t>Уколико се посматра </w:t>
      </w:r>
      <w:r>
        <w:rPr>
          <w:b/>
        </w:rPr>
        <w:t>запосленост по секторима </w:t>
      </w:r>
      <w:r>
        <w:rPr/>
        <w:t>(пољопривреда, индустрија и услуге), највећи проценат запослених радног узраста је запослен у сектору услуга 57,8%, нешто више од четвртине (28,8%) у сектору индустрије (највише у прерађивачкој индустрији), док је у сектору пољопривреде ангажовано 13,4% запослених. Оваквим кретањима настављен је пад пољопривредне запослености (-3,8 п.п. у</w:t>
      </w:r>
      <w:r>
        <w:rPr>
          <w:spacing w:val="-1"/>
        </w:rPr>
        <w:t> </w:t>
      </w:r>
      <w:r>
        <w:rPr/>
        <w:t>периоду</w:t>
      </w:r>
      <w:r>
        <w:rPr>
          <w:spacing w:val="-4"/>
        </w:rPr>
        <w:t> </w:t>
      </w:r>
      <w:r>
        <w:rPr/>
        <w:t>2015-2019), постигнут</w:t>
      </w:r>
      <w:r>
        <w:rPr>
          <w:spacing w:val="-8"/>
        </w:rPr>
        <w:t> </w:t>
      </w:r>
      <w:r>
        <w:rPr/>
        <w:t>благи</w:t>
      </w:r>
      <w:r>
        <w:rPr>
          <w:spacing w:val="-8"/>
        </w:rPr>
        <w:t> </w:t>
      </w:r>
      <w:r>
        <w:rPr/>
        <w:t>опоравак</w:t>
      </w:r>
      <w:r>
        <w:rPr>
          <w:spacing w:val="-8"/>
        </w:rPr>
        <w:t> </w:t>
      </w:r>
      <w:r>
        <w:rPr/>
        <w:t>индустријске</w:t>
      </w:r>
      <w:r>
        <w:rPr>
          <w:spacing w:val="-9"/>
        </w:rPr>
        <w:t> </w:t>
      </w:r>
      <w:r>
        <w:rPr/>
        <w:t>запослености у</w:t>
      </w:r>
      <w:r>
        <w:rPr>
          <w:spacing w:val="-13"/>
        </w:rPr>
        <w:t> </w:t>
      </w:r>
      <w:r>
        <w:rPr/>
        <w:t>периоду</w:t>
      </w:r>
      <w:r>
        <w:rPr>
          <w:spacing w:val="-11"/>
        </w:rPr>
        <w:t> </w:t>
      </w:r>
      <w:r>
        <w:rPr/>
        <w:t>2015-2019.</w:t>
      </w:r>
      <w:r>
        <w:rPr>
          <w:spacing w:val="-8"/>
        </w:rPr>
        <w:t> </w:t>
      </w:r>
      <w:r>
        <w:rPr/>
        <w:t>године</w:t>
      </w:r>
      <w:r>
        <w:rPr>
          <w:spacing w:val="-8"/>
        </w:rPr>
        <w:t> </w:t>
      </w:r>
      <w:r>
        <w:rPr/>
        <w:t>(раст</w:t>
      </w:r>
      <w:r>
        <w:rPr>
          <w:spacing w:val="-8"/>
        </w:rPr>
        <w:t> </w:t>
      </w:r>
      <w:r>
        <w:rPr/>
        <w:t>од 3 п.п.), док је раст запослености у сектору услуга у наведеном периоду незнатан (0,3 п.п.).</w:t>
      </w:r>
    </w:p>
    <w:p>
      <w:pPr>
        <w:pStyle w:val="BodyText"/>
        <w:spacing w:before="120"/>
        <w:ind w:right="708" w:firstLine="719"/>
      </w:pPr>
      <w:r>
        <w:rPr/>
        <w:t>Од </w:t>
      </w:r>
      <w:r>
        <w:rPr>
          <w:b/>
        </w:rPr>
        <w:t>професионалног статуса </w:t>
      </w:r>
      <w:r>
        <w:rPr/>
        <w:t>умногоме зависи висина и редовност примања, али и извесност и сигурност у погледу задржавања посла. Структура запослености према професионалном статусу осцилирала је током времена. Рањива запосленост</w:t>
      </w:r>
      <w:r>
        <w:rPr>
          <w:vertAlign w:val="superscript"/>
        </w:rPr>
        <w:t>17</w:t>
      </w:r>
      <w:r>
        <w:rPr>
          <w:vertAlign w:val="baseline"/>
        </w:rPr>
        <w:t> је расла у 2015.</w:t>
      </w:r>
      <w:r>
        <w:rPr>
          <w:spacing w:val="-5"/>
          <w:vertAlign w:val="baseline"/>
        </w:rPr>
        <w:t> </w:t>
      </w:r>
      <w:r>
        <w:rPr>
          <w:vertAlign w:val="baseline"/>
        </w:rPr>
        <w:t>и</w:t>
      </w:r>
      <w:r>
        <w:rPr>
          <w:spacing w:val="-4"/>
          <w:vertAlign w:val="baseline"/>
        </w:rPr>
        <w:t> </w:t>
      </w:r>
      <w:r>
        <w:rPr>
          <w:vertAlign w:val="baseline"/>
        </w:rPr>
        <w:t>2016.</w:t>
      </w:r>
      <w:r>
        <w:rPr>
          <w:spacing w:val="-7"/>
          <w:vertAlign w:val="baseline"/>
        </w:rPr>
        <w:t> </w:t>
      </w:r>
      <w:r>
        <w:rPr>
          <w:vertAlign w:val="baseline"/>
        </w:rPr>
        <w:t>години,</w:t>
      </w:r>
      <w:r>
        <w:rPr>
          <w:spacing w:val="-7"/>
          <w:vertAlign w:val="baseline"/>
        </w:rPr>
        <w:t> </w:t>
      </w:r>
      <w:r>
        <w:rPr>
          <w:vertAlign w:val="baseline"/>
        </w:rPr>
        <w:t>да</w:t>
      </w:r>
      <w:r>
        <w:rPr>
          <w:spacing w:val="-8"/>
          <w:vertAlign w:val="baseline"/>
        </w:rPr>
        <w:t> </w:t>
      </w:r>
      <w:r>
        <w:rPr>
          <w:vertAlign w:val="baseline"/>
        </w:rPr>
        <w:t>би</w:t>
      </w:r>
      <w:r>
        <w:rPr>
          <w:spacing w:val="-5"/>
          <w:vertAlign w:val="baseline"/>
        </w:rPr>
        <w:t> </w:t>
      </w:r>
      <w:r>
        <w:rPr>
          <w:vertAlign w:val="baseline"/>
        </w:rPr>
        <w:t>се</w:t>
      </w:r>
      <w:r>
        <w:rPr>
          <w:spacing w:val="-6"/>
          <w:vertAlign w:val="baseline"/>
        </w:rPr>
        <w:t> </w:t>
      </w:r>
      <w:r>
        <w:rPr>
          <w:vertAlign w:val="baseline"/>
        </w:rPr>
        <w:t>значајнији</w:t>
      </w:r>
      <w:r>
        <w:rPr>
          <w:spacing w:val="-6"/>
          <w:vertAlign w:val="baseline"/>
        </w:rPr>
        <w:t> </w:t>
      </w:r>
      <w:r>
        <w:rPr>
          <w:vertAlign w:val="baseline"/>
        </w:rPr>
        <w:t>пад</w:t>
      </w:r>
      <w:r>
        <w:rPr>
          <w:spacing w:val="-5"/>
          <w:vertAlign w:val="baseline"/>
        </w:rPr>
        <w:t> </w:t>
      </w:r>
      <w:r>
        <w:rPr>
          <w:vertAlign w:val="baseline"/>
        </w:rPr>
        <w:t>десио</w:t>
      </w:r>
      <w:r>
        <w:rPr>
          <w:spacing w:val="-2"/>
          <w:vertAlign w:val="baseline"/>
        </w:rPr>
        <w:t> </w:t>
      </w:r>
      <w:r>
        <w:rPr>
          <w:vertAlign w:val="baseline"/>
        </w:rPr>
        <w:t>у</w:t>
      </w:r>
      <w:r>
        <w:rPr>
          <w:spacing w:val="-12"/>
          <w:vertAlign w:val="baseline"/>
        </w:rPr>
        <w:t> </w:t>
      </w:r>
      <w:r>
        <w:rPr>
          <w:vertAlign w:val="baseline"/>
        </w:rPr>
        <w:t>2018.</w:t>
      </w:r>
      <w:r>
        <w:rPr>
          <w:spacing w:val="-5"/>
          <w:vertAlign w:val="baseline"/>
        </w:rPr>
        <w:t> </w:t>
      </w:r>
      <w:r>
        <w:rPr>
          <w:vertAlign w:val="baseline"/>
        </w:rPr>
        <w:t>и</w:t>
      </w:r>
      <w:r>
        <w:rPr>
          <w:spacing w:val="-4"/>
          <w:vertAlign w:val="baseline"/>
        </w:rPr>
        <w:t> </w:t>
      </w:r>
      <w:r>
        <w:rPr>
          <w:vertAlign w:val="baseline"/>
        </w:rPr>
        <w:t>2019.</w:t>
      </w:r>
      <w:r>
        <w:rPr>
          <w:spacing w:val="-5"/>
          <w:vertAlign w:val="baseline"/>
        </w:rPr>
        <w:t> </w:t>
      </w:r>
      <w:r>
        <w:rPr>
          <w:vertAlign w:val="baseline"/>
        </w:rPr>
        <w:t>години,</w:t>
      </w:r>
      <w:r>
        <w:rPr>
          <w:spacing w:val="-5"/>
          <w:vertAlign w:val="baseline"/>
        </w:rPr>
        <w:t> </w:t>
      </w:r>
      <w:r>
        <w:rPr>
          <w:vertAlign w:val="baseline"/>
        </w:rPr>
        <w:t>што</w:t>
      </w:r>
      <w:r>
        <w:rPr>
          <w:spacing w:val="-4"/>
          <w:vertAlign w:val="baseline"/>
        </w:rPr>
        <w:t> </w:t>
      </w:r>
      <w:r>
        <w:rPr>
          <w:vertAlign w:val="baseline"/>
        </w:rPr>
        <w:t>је</w:t>
      </w:r>
      <w:r>
        <w:rPr>
          <w:spacing w:val="-8"/>
          <w:vertAlign w:val="baseline"/>
        </w:rPr>
        <w:t> </w:t>
      </w:r>
      <w:r>
        <w:rPr>
          <w:vertAlign w:val="baseline"/>
        </w:rPr>
        <w:t>довело</w:t>
      </w:r>
      <w:r>
        <w:rPr>
          <w:spacing w:val="-5"/>
          <w:vertAlign w:val="baseline"/>
        </w:rPr>
        <w:t> </w:t>
      </w:r>
      <w:r>
        <w:rPr>
          <w:vertAlign w:val="baseline"/>
        </w:rPr>
        <w:t>до тога да учешће рањиве запослености буде 23,9% у 2019. години (смањење од 3,5 п.п. у периоду 2015-2019. године). До пада рањиве запослености превасходно је дошло због смањења учешћа помажућих чланова (са 7,3% на 4%) док је учешће самосталних (без запослених и са запосленима) незнатно стагнирало (са 20,1% на 19,9%) у посматраном периоду. Учешће запослених за плату у укупној запослености износи 76,1% и у периоду 2015-2019. године повећало се за 3,6 п.п. (72,5%).</w:t>
      </w:r>
    </w:p>
    <w:p>
      <w:pPr>
        <w:pStyle w:val="BodyText"/>
        <w:spacing w:before="121"/>
        <w:ind w:right="710" w:firstLine="719"/>
      </w:pPr>
      <w:r>
        <w:rPr/>
        <w:t>Уколико се посматра </w:t>
      </w:r>
      <w:r>
        <w:rPr>
          <w:b/>
        </w:rPr>
        <w:t>запосленост према врсти запослења, </w:t>
      </w:r>
      <w:r>
        <w:rPr/>
        <w:t>у укупном броју запослених</w:t>
      </w:r>
      <w:r>
        <w:rPr>
          <w:spacing w:val="-2"/>
        </w:rPr>
        <w:t> </w:t>
      </w:r>
      <w:r>
        <w:rPr/>
        <w:t>за</w:t>
      </w:r>
      <w:r>
        <w:rPr>
          <w:spacing w:val="-5"/>
        </w:rPr>
        <w:t> </w:t>
      </w:r>
      <w:r>
        <w:rPr/>
        <w:t>плату</w:t>
      </w:r>
      <w:r>
        <w:rPr>
          <w:spacing w:val="-11"/>
        </w:rPr>
        <w:t> </w:t>
      </w:r>
      <w:r>
        <w:rPr/>
        <w:t>доминирају</w:t>
      </w:r>
      <w:r>
        <w:rPr>
          <w:spacing w:val="-11"/>
        </w:rPr>
        <w:t> </w:t>
      </w:r>
      <w:r>
        <w:rPr/>
        <w:t>радници</w:t>
      </w:r>
      <w:r>
        <w:rPr>
          <w:spacing w:val="-3"/>
        </w:rPr>
        <w:t> </w:t>
      </w:r>
      <w:r>
        <w:rPr/>
        <w:t>који</w:t>
      </w:r>
      <w:r>
        <w:rPr>
          <w:spacing w:val="-1"/>
        </w:rPr>
        <w:t> </w:t>
      </w:r>
      <w:r>
        <w:rPr/>
        <w:t>раде</w:t>
      </w:r>
      <w:r>
        <w:rPr>
          <w:spacing w:val="-5"/>
        </w:rPr>
        <w:t> </w:t>
      </w:r>
      <w:r>
        <w:rPr/>
        <w:t>на</w:t>
      </w:r>
      <w:r>
        <w:rPr>
          <w:spacing w:val="-5"/>
        </w:rPr>
        <w:t> </w:t>
      </w:r>
      <w:r>
        <w:rPr/>
        <w:t>неодређено</w:t>
      </w:r>
      <w:r>
        <w:rPr>
          <w:spacing w:val="-4"/>
        </w:rPr>
        <w:t> </w:t>
      </w:r>
      <w:r>
        <w:rPr/>
        <w:t>време</w:t>
      </w:r>
      <w:r>
        <w:rPr>
          <w:spacing w:val="-5"/>
        </w:rPr>
        <w:t> </w:t>
      </w:r>
      <w:r>
        <w:rPr/>
        <w:t>(77,4%),</w:t>
      </w:r>
      <w:r>
        <w:rPr>
          <w:spacing w:val="-5"/>
        </w:rPr>
        <w:t> </w:t>
      </w:r>
      <w:r>
        <w:rPr/>
        <w:t>следе</w:t>
      </w:r>
      <w:r>
        <w:rPr>
          <w:spacing w:val="-3"/>
        </w:rPr>
        <w:t> </w:t>
      </w:r>
      <w:r>
        <w:rPr/>
        <w:t>они који раде на одређено време (19,4%), док је најмање радника ангажовано на сезонским и повременим пословима (3,2%) према подацима за 2019. годину. Анализа података у периоду 2015-2019. године показује да је дошло до погоршања структуре запослености у смеру веће несигурности запослења, тако да скоро сваки четврти запослени (око 23%) у Србији има повремено запослење, што је за око 10 п.п. више него што је просек ЕУ-28.</w:t>
      </w:r>
    </w:p>
    <w:p>
      <w:pPr>
        <w:spacing w:before="121"/>
        <w:ind w:left="360" w:right="0" w:firstLine="0"/>
        <w:jc w:val="both"/>
        <w:rPr>
          <w:i/>
          <w:sz w:val="24"/>
        </w:rPr>
      </w:pPr>
      <w:r>
        <w:rPr>
          <w:i/>
          <w:sz w:val="24"/>
        </w:rPr>
        <w:t>Упоредна</w:t>
      </w:r>
      <w:r>
        <w:rPr>
          <w:i/>
          <w:spacing w:val="-4"/>
          <w:sz w:val="24"/>
        </w:rPr>
        <w:t> </w:t>
      </w:r>
      <w:r>
        <w:rPr>
          <w:i/>
          <w:sz w:val="24"/>
        </w:rPr>
        <w:t>анализа</w:t>
      </w:r>
      <w:r>
        <w:rPr>
          <w:i/>
          <w:spacing w:val="-2"/>
          <w:sz w:val="24"/>
        </w:rPr>
        <w:t> </w:t>
      </w:r>
      <w:r>
        <w:rPr>
          <w:i/>
          <w:sz w:val="24"/>
        </w:rPr>
        <w:t>тржишта</w:t>
      </w:r>
      <w:r>
        <w:rPr>
          <w:i/>
          <w:spacing w:val="-2"/>
          <w:sz w:val="24"/>
        </w:rPr>
        <w:t> </w:t>
      </w:r>
      <w:r>
        <w:rPr>
          <w:i/>
          <w:sz w:val="24"/>
        </w:rPr>
        <w:t>рада</w:t>
      </w:r>
      <w:r>
        <w:rPr>
          <w:i/>
          <w:spacing w:val="-2"/>
          <w:sz w:val="24"/>
        </w:rPr>
        <w:t> </w:t>
      </w:r>
      <w:r>
        <w:rPr>
          <w:i/>
          <w:sz w:val="24"/>
        </w:rPr>
        <w:t>Србије</w:t>
      </w:r>
      <w:r>
        <w:rPr>
          <w:i/>
          <w:spacing w:val="-2"/>
          <w:sz w:val="24"/>
        </w:rPr>
        <w:t> </w:t>
      </w:r>
      <w:r>
        <w:rPr>
          <w:i/>
          <w:sz w:val="24"/>
        </w:rPr>
        <w:t>и</w:t>
      </w:r>
      <w:r>
        <w:rPr>
          <w:i/>
          <w:spacing w:val="-1"/>
          <w:sz w:val="24"/>
        </w:rPr>
        <w:t> </w:t>
      </w:r>
      <w:r>
        <w:rPr>
          <w:i/>
          <w:spacing w:val="-5"/>
          <w:sz w:val="24"/>
        </w:rPr>
        <w:t>ЕУ</w:t>
      </w:r>
    </w:p>
    <w:p>
      <w:pPr>
        <w:pStyle w:val="BodyText"/>
        <w:spacing w:before="120"/>
        <w:ind w:right="716" w:firstLine="712"/>
      </w:pPr>
      <w:r>
        <w:rPr/>
        <w:t>И поред значајних унапређења на тржишту рада, Србија заостаје за просечним вредностима основних показатеља земаља ЕУ, тако да разлика у кључним показатељима тржишта рада становништва радног узраста (15-64) између Србије и ЕУ-28 представља један од највећих изазова у процесу приступања. Највећи јаз бележи се у стопи запослености становништва радног узраста (69,2% наспрам 60,7%), док је позиција у случају стопе активности (74% наспрам 68,1%) и стопе незапослености (6,4% наспрам 10,9%) нешто повољнија.</w:t>
      </w:r>
    </w:p>
    <w:p>
      <w:pPr>
        <w:pStyle w:val="BodyText"/>
        <w:spacing w:before="120"/>
        <w:ind w:right="715" w:firstLine="712"/>
      </w:pPr>
      <w:r>
        <w:rPr/>
        <w:t>У европским земљама, становништво је знатно активније на тржишту</w:t>
      </w:r>
      <w:r>
        <w:rPr>
          <w:spacing w:val="-3"/>
        </w:rPr>
        <w:t> </w:t>
      </w:r>
      <w:r>
        <w:rPr/>
        <w:t>рада. Подаци говоре да се тржиште рада у Србији одликује једном од највиших стопа неактивности (31,9%</w:t>
      </w:r>
      <w:r>
        <w:rPr>
          <w:spacing w:val="-6"/>
        </w:rPr>
        <w:t> </w:t>
      </w:r>
      <w:r>
        <w:rPr/>
        <w:t>у</w:t>
      </w:r>
      <w:r>
        <w:rPr>
          <w:spacing w:val="-14"/>
        </w:rPr>
        <w:t> </w:t>
      </w:r>
      <w:r>
        <w:rPr/>
        <w:t>2019.</w:t>
      </w:r>
      <w:r>
        <w:rPr>
          <w:spacing w:val="-10"/>
        </w:rPr>
        <w:t> </w:t>
      </w:r>
      <w:r>
        <w:rPr/>
        <w:t>години)</w:t>
      </w:r>
      <w:r>
        <w:rPr>
          <w:spacing w:val="-10"/>
        </w:rPr>
        <w:t> </w:t>
      </w:r>
      <w:r>
        <w:rPr/>
        <w:t>у</w:t>
      </w:r>
      <w:r>
        <w:rPr>
          <w:spacing w:val="-12"/>
        </w:rPr>
        <w:t> </w:t>
      </w:r>
      <w:r>
        <w:rPr/>
        <w:t>поређењу</w:t>
      </w:r>
      <w:r>
        <w:rPr>
          <w:spacing w:val="-14"/>
        </w:rPr>
        <w:t> </w:t>
      </w:r>
      <w:r>
        <w:rPr/>
        <w:t>са</w:t>
      </w:r>
      <w:r>
        <w:rPr>
          <w:spacing w:val="-11"/>
        </w:rPr>
        <w:t> </w:t>
      </w:r>
      <w:r>
        <w:rPr/>
        <w:t>земљама</w:t>
      </w:r>
      <w:r>
        <w:rPr>
          <w:spacing w:val="-8"/>
        </w:rPr>
        <w:t> </w:t>
      </w:r>
      <w:r>
        <w:rPr/>
        <w:t>ЕУ</w:t>
      </w:r>
      <w:r>
        <w:rPr>
          <w:spacing w:val="-9"/>
        </w:rPr>
        <w:t> </w:t>
      </w:r>
      <w:r>
        <w:rPr/>
        <w:t>(само</w:t>
      </w:r>
      <w:r>
        <w:rPr>
          <w:spacing w:val="-7"/>
        </w:rPr>
        <w:t> </w:t>
      </w:r>
      <w:r>
        <w:rPr/>
        <w:t>су</w:t>
      </w:r>
      <w:r>
        <w:rPr>
          <w:spacing w:val="-14"/>
        </w:rPr>
        <w:t> </w:t>
      </w:r>
      <w:r>
        <w:rPr/>
        <w:t>Италија</w:t>
      </w:r>
      <w:r>
        <w:rPr>
          <w:spacing w:val="-10"/>
        </w:rPr>
        <w:t> </w:t>
      </w:r>
      <w:r>
        <w:rPr/>
        <w:t>и</w:t>
      </w:r>
      <w:r>
        <w:rPr>
          <w:spacing w:val="-9"/>
        </w:rPr>
        <w:t> </w:t>
      </w:r>
      <w:r>
        <w:rPr/>
        <w:t>Хрватска</w:t>
      </w:r>
      <w:r>
        <w:rPr>
          <w:spacing w:val="-10"/>
        </w:rPr>
        <w:t> </w:t>
      </w:r>
      <w:r>
        <w:rPr/>
        <w:t>имале</w:t>
      </w:r>
      <w:r>
        <w:rPr>
          <w:spacing w:val="-8"/>
        </w:rPr>
        <w:t> </w:t>
      </w:r>
      <w:r>
        <w:rPr/>
        <w:t>стопу неактивности на вишем нивоу од Србије, које су износиле 34,4% и 33,5% респективно), а разлика у односу на просек ЕУ-28 износи 5,9 п.п. (26%).</w:t>
      </w:r>
    </w:p>
    <w:p>
      <w:pPr>
        <w:pStyle w:val="BodyText"/>
        <w:spacing w:before="121"/>
        <w:ind w:right="717" w:firstLine="712"/>
      </w:pPr>
      <w:r>
        <w:rPr/>
        <w:t>Стопа запослености у Србији (60,7% у 2019. години) је за 8,5 п.п. нижа од стопе запослености у</w:t>
      </w:r>
      <w:r>
        <w:rPr>
          <w:spacing w:val="-5"/>
        </w:rPr>
        <w:t> </w:t>
      </w:r>
      <w:r>
        <w:rPr/>
        <w:t>ЕУ-28 (69,2%). Само у</w:t>
      </w:r>
      <w:r>
        <w:rPr>
          <w:spacing w:val="-3"/>
        </w:rPr>
        <w:t> </w:t>
      </w:r>
      <w:r>
        <w:rPr/>
        <w:t>Грчкој (56,5%) и Италији (59%) стопа запослености има</w:t>
      </w:r>
      <w:r>
        <w:rPr>
          <w:spacing w:val="-8"/>
        </w:rPr>
        <w:t> </w:t>
      </w:r>
      <w:r>
        <w:rPr/>
        <w:t>нижу</w:t>
      </w:r>
      <w:r>
        <w:rPr>
          <w:spacing w:val="-12"/>
        </w:rPr>
        <w:t> </w:t>
      </w:r>
      <w:r>
        <w:rPr/>
        <w:t>вредност</w:t>
      </w:r>
      <w:r>
        <w:rPr>
          <w:spacing w:val="-2"/>
        </w:rPr>
        <w:t> </w:t>
      </w:r>
      <w:r>
        <w:rPr/>
        <w:t>у</w:t>
      </w:r>
      <w:r>
        <w:rPr>
          <w:spacing w:val="-11"/>
        </w:rPr>
        <w:t> </w:t>
      </w:r>
      <w:r>
        <w:rPr/>
        <w:t>односу</w:t>
      </w:r>
      <w:r>
        <w:rPr>
          <w:spacing w:val="-12"/>
        </w:rPr>
        <w:t> </w:t>
      </w:r>
      <w:r>
        <w:rPr/>
        <w:t>на</w:t>
      </w:r>
      <w:r>
        <w:rPr>
          <w:spacing w:val="-8"/>
        </w:rPr>
        <w:t> </w:t>
      </w:r>
      <w:r>
        <w:rPr/>
        <w:t>Србију.</w:t>
      </w:r>
      <w:r>
        <w:rPr>
          <w:spacing w:val="-7"/>
        </w:rPr>
        <w:t> </w:t>
      </w:r>
      <w:r>
        <w:rPr/>
        <w:t>Стопа</w:t>
      </w:r>
      <w:r>
        <w:rPr>
          <w:spacing w:val="-8"/>
        </w:rPr>
        <w:t> </w:t>
      </w:r>
      <w:r>
        <w:rPr/>
        <w:t>запослености</w:t>
      </w:r>
      <w:r>
        <w:rPr>
          <w:spacing w:val="-6"/>
        </w:rPr>
        <w:t> </w:t>
      </w:r>
      <w:r>
        <w:rPr/>
        <w:t>мушкараца</w:t>
      </w:r>
      <w:r>
        <w:rPr>
          <w:spacing w:val="-3"/>
        </w:rPr>
        <w:t> </w:t>
      </w:r>
      <w:r>
        <w:rPr/>
        <w:t>у</w:t>
      </w:r>
      <w:r>
        <w:rPr>
          <w:spacing w:val="-12"/>
        </w:rPr>
        <w:t> </w:t>
      </w:r>
      <w:r>
        <w:rPr/>
        <w:t>Србији</w:t>
      </w:r>
      <w:r>
        <w:rPr>
          <w:spacing w:val="-6"/>
        </w:rPr>
        <w:t> </w:t>
      </w:r>
      <w:r>
        <w:rPr/>
        <w:t>нижа</w:t>
      </w:r>
      <w:r>
        <w:rPr>
          <w:spacing w:val="-8"/>
        </w:rPr>
        <w:t> </w:t>
      </w:r>
      <w:r>
        <w:rPr/>
        <w:t>је</w:t>
      </w:r>
      <w:r>
        <w:rPr>
          <w:spacing w:val="-8"/>
        </w:rPr>
        <w:t> </w:t>
      </w:r>
      <w:r>
        <w:rPr/>
        <w:t>за</w:t>
      </w:r>
    </w:p>
    <w:p>
      <w:pPr>
        <w:pStyle w:val="BodyText"/>
        <w:spacing w:before="3"/>
        <w:ind w:left="0"/>
        <w:jc w:val="left"/>
        <w:rPr>
          <w:sz w:val="14"/>
        </w:rPr>
      </w:pPr>
      <w:r>
        <w:rPr>
          <w:sz w:val="14"/>
        </w:rPr>
        <mc:AlternateContent>
          <mc:Choice Requires="wps">
            <w:drawing>
              <wp:anchor distT="0" distB="0" distL="0" distR="0" allowOverlap="1" layoutInCell="1" locked="0" behindDoc="1" simplePos="0" relativeHeight="487592448">
                <wp:simplePos x="0" y="0"/>
                <wp:positionH relativeFrom="page">
                  <wp:posOffset>914704</wp:posOffset>
                </wp:positionH>
                <wp:positionV relativeFrom="paragraph">
                  <wp:posOffset>119624</wp:posOffset>
                </wp:positionV>
                <wp:extent cx="1829435"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419249pt;width:144.020pt;height:.71997pt;mso-position-horizontal-relative:page;mso-position-vertical-relative:paragraph;z-index:-15724032;mso-wrap-distance-left:0;mso-wrap-distance-right:0" id="docshape13" filled="true" fillcolor="#000000" stroked="false">
                <v:fill type="solid"/>
                <w10:wrap type="topAndBottom"/>
              </v:rect>
            </w:pict>
          </mc:Fallback>
        </mc:AlternateContent>
      </w:r>
    </w:p>
    <w:p>
      <w:pPr>
        <w:spacing w:before="115"/>
        <w:ind w:left="360" w:right="0" w:firstLine="0"/>
        <w:jc w:val="left"/>
        <w:rPr>
          <w:sz w:val="18"/>
        </w:rPr>
      </w:pPr>
      <w:r>
        <w:rPr>
          <w:sz w:val="18"/>
          <w:vertAlign w:val="superscript"/>
        </w:rPr>
        <w:t>17</w:t>
      </w:r>
      <w:r>
        <w:rPr>
          <w:spacing w:val="3"/>
          <w:sz w:val="18"/>
          <w:vertAlign w:val="baseline"/>
        </w:rPr>
        <w:t> </w:t>
      </w:r>
      <w:r>
        <w:rPr>
          <w:sz w:val="18"/>
          <w:vertAlign w:val="baseline"/>
        </w:rPr>
        <w:t>У</w:t>
      </w:r>
      <w:r>
        <w:rPr>
          <w:spacing w:val="-2"/>
          <w:sz w:val="18"/>
          <w:vertAlign w:val="baseline"/>
        </w:rPr>
        <w:t> </w:t>
      </w:r>
      <w:r>
        <w:rPr>
          <w:sz w:val="18"/>
          <w:vertAlign w:val="baseline"/>
        </w:rPr>
        <w:t>рањиву</w:t>
      </w:r>
      <w:r>
        <w:rPr>
          <w:spacing w:val="-5"/>
          <w:sz w:val="18"/>
          <w:vertAlign w:val="baseline"/>
        </w:rPr>
        <w:t> </w:t>
      </w:r>
      <w:r>
        <w:rPr>
          <w:sz w:val="18"/>
          <w:vertAlign w:val="baseline"/>
        </w:rPr>
        <w:t>запосленост рачунају</w:t>
      </w:r>
      <w:r>
        <w:rPr>
          <w:spacing w:val="-3"/>
          <w:sz w:val="18"/>
          <w:vertAlign w:val="baseline"/>
        </w:rPr>
        <w:t> </w:t>
      </w:r>
      <w:r>
        <w:rPr>
          <w:sz w:val="18"/>
          <w:vertAlign w:val="baseline"/>
        </w:rPr>
        <w:t>се</w:t>
      </w:r>
      <w:r>
        <w:rPr>
          <w:spacing w:val="-2"/>
          <w:sz w:val="18"/>
          <w:vertAlign w:val="baseline"/>
        </w:rPr>
        <w:t> </w:t>
      </w:r>
      <w:r>
        <w:rPr>
          <w:sz w:val="18"/>
          <w:vertAlign w:val="baseline"/>
        </w:rPr>
        <w:t>самостални</w:t>
      </w:r>
      <w:r>
        <w:rPr>
          <w:spacing w:val="-1"/>
          <w:sz w:val="18"/>
          <w:vertAlign w:val="baseline"/>
        </w:rPr>
        <w:t> </w:t>
      </w:r>
      <w:r>
        <w:rPr>
          <w:sz w:val="18"/>
          <w:vertAlign w:val="baseline"/>
        </w:rPr>
        <w:t>(без</w:t>
      </w:r>
      <w:r>
        <w:rPr>
          <w:spacing w:val="-1"/>
          <w:sz w:val="18"/>
          <w:vertAlign w:val="baseline"/>
        </w:rPr>
        <w:t> </w:t>
      </w:r>
      <w:r>
        <w:rPr>
          <w:sz w:val="18"/>
          <w:vertAlign w:val="baseline"/>
        </w:rPr>
        <w:t>запослених</w:t>
      </w:r>
      <w:r>
        <w:rPr>
          <w:spacing w:val="-2"/>
          <w:sz w:val="18"/>
          <w:vertAlign w:val="baseline"/>
        </w:rPr>
        <w:t> </w:t>
      </w:r>
      <w:r>
        <w:rPr>
          <w:sz w:val="18"/>
          <w:vertAlign w:val="baseline"/>
        </w:rPr>
        <w:t>и</w:t>
      </w:r>
      <w:r>
        <w:rPr>
          <w:spacing w:val="-3"/>
          <w:sz w:val="18"/>
          <w:vertAlign w:val="baseline"/>
        </w:rPr>
        <w:t> </w:t>
      </w:r>
      <w:r>
        <w:rPr>
          <w:sz w:val="18"/>
          <w:vertAlign w:val="baseline"/>
        </w:rPr>
        <w:t>са</w:t>
      </w:r>
      <w:r>
        <w:rPr>
          <w:spacing w:val="-3"/>
          <w:sz w:val="18"/>
          <w:vertAlign w:val="baseline"/>
        </w:rPr>
        <w:t> </w:t>
      </w:r>
      <w:r>
        <w:rPr>
          <w:sz w:val="18"/>
          <w:vertAlign w:val="baseline"/>
        </w:rPr>
        <w:t>запосленима)</w:t>
      </w:r>
      <w:r>
        <w:rPr>
          <w:spacing w:val="2"/>
          <w:sz w:val="18"/>
          <w:vertAlign w:val="baseline"/>
        </w:rPr>
        <w:t> </w:t>
      </w:r>
      <w:r>
        <w:rPr>
          <w:sz w:val="18"/>
          <w:vertAlign w:val="baseline"/>
        </w:rPr>
        <w:t>и</w:t>
      </w:r>
      <w:r>
        <w:rPr>
          <w:spacing w:val="-3"/>
          <w:sz w:val="18"/>
          <w:vertAlign w:val="baseline"/>
        </w:rPr>
        <w:t> </w:t>
      </w:r>
      <w:r>
        <w:rPr>
          <w:sz w:val="18"/>
          <w:vertAlign w:val="baseline"/>
        </w:rPr>
        <w:t>помажући</w:t>
      </w:r>
      <w:r>
        <w:rPr>
          <w:spacing w:val="-2"/>
          <w:sz w:val="18"/>
          <w:vertAlign w:val="baseline"/>
        </w:rPr>
        <w:t> </w:t>
      </w:r>
      <w:r>
        <w:rPr>
          <w:sz w:val="18"/>
          <w:vertAlign w:val="baseline"/>
        </w:rPr>
        <w:t>чланови</w:t>
      </w:r>
      <w:r>
        <w:rPr>
          <w:spacing w:val="-3"/>
          <w:sz w:val="18"/>
          <w:vertAlign w:val="baseline"/>
        </w:rPr>
        <w:t> </w:t>
      </w:r>
      <w:r>
        <w:rPr>
          <w:spacing w:val="-2"/>
          <w:sz w:val="18"/>
          <w:vertAlign w:val="baseline"/>
        </w:rPr>
        <w:t>домаћинства</w:t>
      </w:r>
    </w:p>
    <w:p>
      <w:pPr>
        <w:spacing w:after="0"/>
        <w:jc w:val="left"/>
        <w:rPr>
          <w:sz w:val="18"/>
        </w:rPr>
        <w:sectPr>
          <w:pgSz w:w="12240" w:h="15840"/>
          <w:pgMar w:header="0" w:footer="702" w:top="1360" w:bottom="900" w:left="1080" w:right="720"/>
        </w:sectPr>
      </w:pPr>
    </w:p>
    <w:p>
      <w:pPr>
        <w:pStyle w:val="BodyText"/>
        <w:spacing w:before="72"/>
        <w:ind w:right="718"/>
      </w:pPr>
      <w:r>
        <w:rPr/>
        <w:t>7,3 п.п. у односу на ЕУ-28, док разлика код жена износи 9,8 п.п. за колико жене у Србији имају нижу стопу запослености у односу на ЕУ-28.</w:t>
      </w:r>
    </w:p>
    <w:p>
      <w:pPr>
        <w:pStyle w:val="BodyText"/>
        <w:spacing w:before="120"/>
        <w:ind w:right="717" w:firstLine="712"/>
      </w:pPr>
      <w:r>
        <w:rPr/>
        <w:t>Стопа</w:t>
      </w:r>
      <w:r>
        <w:rPr>
          <w:spacing w:val="-6"/>
        </w:rPr>
        <w:t> </w:t>
      </w:r>
      <w:r>
        <w:rPr/>
        <w:t>незапослености</w:t>
      </w:r>
      <w:r>
        <w:rPr>
          <w:spacing w:val="-6"/>
        </w:rPr>
        <w:t> </w:t>
      </w:r>
      <w:r>
        <w:rPr/>
        <w:t>у</w:t>
      </w:r>
      <w:r>
        <w:rPr>
          <w:spacing w:val="-10"/>
        </w:rPr>
        <w:t> </w:t>
      </w:r>
      <w:r>
        <w:rPr/>
        <w:t>Србији</w:t>
      </w:r>
      <w:r>
        <w:rPr>
          <w:spacing w:val="-3"/>
        </w:rPr>
        <w:t> </w:t>
      </w:r>
      <w:r>
        <w:rPr/>
        <w:t>(10,9%</w:t>
      </w:r>
      <w:r>
        <w:rPr>
          <w:spacing w:val="-3"/>
        </w:rPr>
        <w:t> </w:t>
      </w:r>
      <w:r>
        <w:rPr/>
        <w:t>у</w:t>
      </w:r>
      <w:r>
        <w:rPr>
          <w:spacing w:val="-10"/>
        </w:rPr>
        <w:t> </w:t>
      </w:r>
      <w:r>
        <w:rPr/>
        <w:t>2019.</w:t>
      </w:r>
      <w:r>
        <w:rPr>
          <w:spacing w:val="-3"/>
        </w:rPr>
        <w:t> </w:t>
      </w:r>
      <w:r>
        <w:rPr/>
        <w:t>години)</w:t>
      </w:r>
      <w:r>
        <w:rPr>
          <w:spacing w:val="-6"/>
        </w:rPr>
        <w:t> </w:t>
      </w:r>
      <w:r>
        <w:rPr/>
        <w:t>је</w:t>
      </w:r>
      <w:r>
        <w:rPr>
          <w:spacing w:val="-5"/>
        </w:rPr>
        <w:t> </w:t>
      </w:r>
      <w:r>
        <w:rPr/>
        <w:t>за</w:t>
      </w:r>
      <w:r>
        <w:rPr>
          <w:spacing w:val="-6"/>
        </w:rPr>
        <w:t> </w:t>
      </w:r>
      <w:r>
        <w:rPr/>
        <w:t>4,5</w:t>
      </w:r>
      <w:r>
        <w:rPr>
          <w:spacing w:val="-7"/>
        </w:rPr>
        <w:t> </w:t>
      </w:r>
      <w:r>
        <w:rPr/>
        <w:t>п.п.</w:t>
      </w:r>
      <w:r>
        <w:rPr>
          <w:spacing w:val="-7"/>
        </w:rPr>
        <w:t> </w:t>
      </w:r>
      <w:r>
        <w:rPr/>
        <w:t>виша</w:t>
      </w:r>
      <w:r>
        <w:rPr>
          <w:spacing w:val="-6"/>
        </w:rPr>
        <w:t> </w:t>
      </w:r>
      <w:r>
        <w:rPr/>
        <w:t>него</w:t>
      </w:r>
      <w:r>
        <w:rPr>
          <w:spacing w:val="-2"/>
        </w:rPr>
        <w:t> </w:t>
      </w:r>
      <w:r>
        <w:rPr/>
        <w:t>у</w:t>
      </w:r>
      <w:r>
        <w:rPr>
          <w:spacing w:val="-10"/>
        </w:rPr>
        <w:t> </w:t>
      </w:r>
      <w:r>
        <w:rPr/>
        <w:t>ЕУ- 28</w:t>
      </w:r>
      <w:r>
        <w:rPr>
          <w:spacing w:val="-1"/>
        </w:rPr>
        <w:t> </w:t>
      </w:r>
      <w:r>
        <w:rPr/>
        <w:t>(6,4%).</w:t>
      </w:r>
      <w:r>
        <w:rPr>
          <w:spacing w:val="-2"/>
        </w:rPr>
        <w:t> </w:t>
      </w:r>
      <w:r>
        <w:rPr/>
        <w:t>Грчка (17,5%)</w:t>
      </w:r>
      <w:r>
        <w:rPr>
          <w:spacing w:val="-2"/>
        </w:rPr>
        <w:t> </w:t>
      </w:r>
      <w:r>
        <w:rPr/>
        <w:t>и Шпанија</w:t>
      </w:r>
      <w:r>
        <w:rPr>
          <w:spacing w:val="-2"/>
        </w:rPr>
        <w:t> </w:t>
      </w:r>
      <w:r>
        <w:rPr/>
        <w:t>(14,2%)</w:t>
      </w:r>
      <w:r>
        <w:rPr>
          <w:spacing w:val="-2"/>
        </w:rPr>
        <w:t> </w:t>
      </w:r>
      <w:r>
        <w:rPr/>
        <w:t>имају</w:t>
      </w:r>
      <w:r>
        <w:rPr>
          <w:spacing w:val="-4"/>
        </w:rPr>
        <w:t> </w:t>
      </w:r>
      <w:r>
        <w:rPr/>
        <w:t>више</w:t>
      </w:r>
      <w:r>
        <w:rPr>
          <w:spacing w:val="-2"/>
        </w:rPr>
        <w:t> </w:t>
      </w:r>
      <w:r>
        <w:rPr/>
        <w:t>вредности стопе</w:t>
      </w:r>
      <w:r>
        <w:rPr>
          <w:spacing w:val="-2"/>
        </w:rPr>
        <w:t> </w:t>
      </w:r>
      <w:r>
        <w:rPr/>
        <w:t>незапослености у односу на Србију. Стопа незапослености мушкараца у Србији виша је за 4,2 п.п. у односу на ЕУ-28, док разлика код жена износи 4,8 п.п. за колико жене у Србији имају</w:t>
      </w:r>
      <w:r>
        <w:rPr>
          <w:spacing w:val="-2"/>
        </w:rPr>
        <w:t> </w:t>
      </w:r>
      <w:r>
        <w:rPr/>
        <w:t>вишу стопу незапослености у односу на ЕУ-28.</w:t>
      </w:r>
    </w:p>
    <w:p>
      <w:pPr>
        <w:pStyle w:val="BodyText"/>
        <w:spacing w:line="264" w:lineRule="auto" w:before="123"/>
        <w:ind w:left="3949" w:right="1110" w:hanging="3198"/>
      </w:pPr>
      <w:r>
        <w:rPr/>
        <w:t>Графикон</w:t>
      </w:r>
      <w:r>
        <w:rPr>
          <w:spacing w:val="-3"/>
        </w:rPr>
        <w:t> </w:t>
      </w:r>
      <w:r>
        <w:rPr/>
        <w:t>2.</w:t>
      </w:r>
      <w:r>
        <w:rPr>
          <w:spacing w:val="40"/>
        </w:rPr>
        <w:t>  </w:t>
      </w:r>
      <w:r>
        <w:rPr/>
        <w:t>Показатељи</w:t>
      </w:r>
      <w:r>
        <w:rPr>
          <w:spacing w:val="-1"/>
        </w:rPr>
        <w:t> </w:t>
      </w:r>
      <w:r>
        <w:rPr/>
        <w:t>тржишта</w:t>
      </w:r>
      <w:r>
        <w:rPr>
          <w:spacing w:val="-3"/>
        </w:rPr>
        <w:t> </w:t>
      </w:r>
      <w:r>
        <w:rPr/>
        <w:t>рада</w:t>
      </w:r>
      <w:r>
        <w:rPr>
          <w:spacing w:val="-4"/>
        </w:rPr>
        <w:t> </w:t>
      </w:r>
      <w:r>
        <w:rPr/>
        <w:t>за</w:t>
      </w:r>
      <w:r>
        <w:rPr>
          <w:spacing w:val="-4"/>
        </w:rPr>
        <w:t> </w:t>
      </w:r>
      <w:r>
        <w:rPr/>
        <w:t>радно</w:t>
      </w:r>
      <w:r>
        <w:rPr>
          <w:spacing w:val="-3"/>
        </w:rPr>
        <w:t> </w:t>
      </w:r>
      <w:r>
        <w:rPr/>
        <w:t>активно</w:t>
      </w:r>
      <w:r>
        <w:rPr>
          <w:spacing w:val="-3"/>
        </w:rPr>
        <w:t> </w:t>
      </w:r>
      <w:r>
        <w:rPr/>
        <w:t>становништво,</w:t>
      </w:r>
      <w:r>
        <w:rPr>
          <w:spacing w:val="-3"/>
        </w:rPr>
        <w:t> </w:t>
      </w:r>
      <w:r>
        <w:rPr/>
        <w:t>ЕУ-28</w:t>
      </w:r>
      <w:r>
        <w:rPr>
          <w:spacing w:val="-3"/>
        </w:rPr>
        <w:t> </w:t>
      </w:r>
      <w:r>
        <w:rPr/>
        <w:t>и Србија, %, 2015-2019</w:t>
      </w:r>
    </w:p>
    <w:p>
      <w:pPr>
        <w:pStyle w:val="BodyText"/>
        <w:tabs>
          <w:tab w:pos="6555" w:val="left" w:leader="none"/>
        </w:tabs>
        <w:spacing w:line="274" w:lineRule="exact"/>
        <w:ind w:left="1800"/>
      </w:pPr>
      <w:r>
        <w:rPr/>
        <w:t>Стопа</w:t>
      </w:r>
      <w:r>
        <w:rPr>
          <w:spacing w:val="-2"/>
        </w:rPr>
        <w:t> запослености</w:t>
      </w:r>
      <w:r>
        <w:rPr/>
        <w:tab/>
        <w:t>Стопа</w:t>
      </w:r>
      <w:r>
        <w:rPr>
          <w:spacing w:val="-4"/>
        </w:rPr>
        <w:t> </w:t>
      </w:r>
      <w:r>
        <w:rPr>
          <w:spacing w:val="-2"/>
        </w:rPr>
        <w:t>незапослености</w:t>
      </w:r>
    </w:p>
    <w:p>
      <w:pPr>
        <w:pStyle w:val="BodyText"/>
        <w:spacing w:before="10"/>
        <w:ind w:left="0"/>
        <w:jc w:val="left"/>
        <w:rPr>
          <w:sz w:val="20"/>
        </w:rPr>
      </w:pPr>
      <w:r>
        <w:rPr>
          <w:sz w:val="20"/>
        </w:rPr>
        <w:drawing>
          <wp:anchor distT="0" distB="0" distL="0" distR="0" allowOverlap="1" layoutInCell="1" locked="0" behindDoc="1" simplePos="0" relativeHeight="487592960">
            <wp:simplePos x="0" y="0"/>
            <wp:positionH relativeFrom="page">
              <wp:posOffset>977462</wp:posOffset>
            </wp:positionH>
            <wp:positionV relativeFrom="paragraph">
              <wp:posOffset>167684</wp:posOffset>
            </wp:positionV>
            <wp:extent cx="5789922" cy="1921097"/>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5789922" cy="1921097"/>
                    </a:xfrm>
                    <a:prstGeom prst="rect">
                      <a:avLst/>
                    </a:prstGeom>
                  </pic:spPr>
                </pic:pic>
              </a:graphicData>
            </a:graphic>
          </wp:anchor>
        </w:drawing>
      </w:r>
    </w:p>
    <w:p>
      <w:pPr>
        <w:pStyle w:val="BodyText"/>
        <w:spacing w:before="29"/>
        <w:ind w:left="0"/>
        <w:jc w:val="left"/>
        <w:rPr>
          <w:sz w:val="20"/>
        </w:r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3"/>
        <w:gridCol w:w="796"/>
        <w:gridCol w:w="794"/>
        <w:gridCol w:w="794"/>
        <w:gridCol w:w="795"/>
        <w:gridCol w:w="794"/>
        <w:gridCol w:w="797"/>
        <w:gridCol w:w="795"/>
        <w:gridCol w:w="795"/>
        <w:gridCol w:w="795"/>
        <w:gridCol w:w="794"/>
      </w:tblGrid>
      <w:tr>
        <w:trPr>
          <w:trHeight w:val="299" w:hRule="atLeast"/>
        </w:trPr>
        <w:tc>
          <w:tcPr>
            <w:tcW w:w="1433" w:type="dxa"/>
            <w:vMerge w:val="restart"/>
            <w:tcBorders>
              <w:top w:val="single" w:sz="4" w:space="0" w:color="000000"/>
              <w:bottom w:val="single" w:sz="4" w:space="0" w:color="000000"/>
              <w:right w:val="single" w:sz="4" w:space="0" w:color="000000"/>
            </w:tcBorders>
          </w:tcPr>
          <w:p>
            <w:pPr>
              <w:pStyle w:val="TableParagraph"/>
              <w:rPr>
                <w:sz w:val="22"/>
              </w:rPr>
            </w:pPr>
          </w:p>
        </w:tc>
        <w:tc>
          <w:tcPr>
            <w:tcW w:w="3973" w:type="dxa"/>
            <w:gridSpan w:val="5"/>
            <w:tcBorders>
              <w:top w:val="single" w:sz="4" w:space="0" w:color="000000"/>
              <w:left w:val="single" w:sz="4" w:space="0" w:color="000000"/>
              <w:bottom w:val="single" w:sz="4" w:space="0" w:color="000000"/>
              <w:right w:val="single" w:sz="4" w:space="0" w:color="000000"/>
            </w:tcBorders>
          </w:tcPr>
          <w:p>
            <w:pPr>
              <w:pStyle w:val="TableParagraph"/>
              <w:spacing w:before="34"/>
              <w:ind w:left="815"/>
              <w:rPr>
                <w:b/>
                <w:sz w:val="20"/>
              </w:rPr>
            </w:pPr>
            <w:r>
              <w:rPr>
                <w:b/>
                <w:sz w:val="20"/>
              </w:rPr>
              <w:t>Стопа</w:t>
            </w:r>
            <w:r>
              <w:rPr>
                <w:b/>
                <w:spacing w:val="-8"/>
                <w:sz w:val="20"/>
              </w:rPr>
              <w:t> </w:t>
            </w:r>
            <w:r>
              <w:rPr>
                <w:b/>
                <w:sz w:val="20"/>
              </w:rPr>
              <w:t>запослености</w:t>
            </w:r>
            <w:r>
              <w:rPr>
                <w:b/>
                <w:spacing w:val="-10"/>
                <w:sz w:val="20"/>
              </w:rPr>
              <w:t> </w:t>
            </w:r>
            <w:r>
              <w:rPr>
                <w:b/>
                <w:sz w:val="20"/>
              </w:rPr>
              <w:t>15-</w:t>
            </w:r>
            <w:r>
              <w:rPr>
                <w:b/>
                <w:spacing w:val="-5"/>
                <w:sz w:val="20"/>
              </w:rPr>
              <w:t>64</w:t>
            </w:r>
          </w:p>
        </w:tc>
        <w:tc>
          <w:tcPr>
            <w:tcW w:w="3976" w:type="dxa"/>
            <w:gridSpan w:val="5"/>
            <w:tcBorders>
              <w:top w:val="single" w:sz="4" w:space="0" w:color="000000"/>
              <w:left w:val="single" w:sz="4" w:space="0" w:color="000000"/>
              <w:bottom w:val="single" w:sz="4" w:space="0" w:color="000000"/>
            </w:tcBorders>
          </w:tcPr>
          <w:p>
            <w:pPr>
              <w:pStyle w:val="TableParagraph"/>
              <w:spacing w:before="34"/>
              <w:ind w:left="712"/>
              <w:rPr>
                <w:b/>
                <w:sz w:val="20"/>
              </w:rPr>
            </w:pPr>
            <w:r>
              <w:rPr>
                <w:b/>
                <w:sz w:val="20"/>
              </w:rPr>
              <w:t>Стопа</w:t>
            </w:r>
            <w:r>
              <w:rPr>
                <w:b/>
                <w:spacing w:val="-8"/>
                <w:sz w:val="20"/>
              </w:rPr>
              <w:t> </w:t>
            </w:r>
            <w:r>
              <w:rPr>
                <w:b/>
                <w:sz w:val="20"/>
              </w:rPr>
              <w:t>незапослености</w:t>
            </w:r>
            <w:r>
              <w:rPr>
                <w:b/>
                <w:spacing w:val="-11"/>
                <w:sz w:val="20"/>
              </w:rPr>
              <w:t> </w:t>
            </w:r>
            <w:r>
              <w:rPr>
                <w:b/>
                <w:sz w:val="20"/>
              </w:rPr>
              <w:t>15-</w:t>
            </w:r>
            <w:r>
              <w:rPr>
                <w:b/>
                <w:spacing w:val="-7"/>
                <w:sz w:val="20"/>
              </w:rPr>
              <w:t>64</w:t>
            </w:r>
          </w:p>
        </w:tc>
      </w:tr>
      <w:tr>
        <w:trPr>
          <w:trHeight w:val="299" w:hRule="atLeast"/>
        </w:trPr>
        <w:tc>
          <w:tcPr>
            <w:tcW w:w="1433" w:type="dxa"/>
            <w:vMerge/>
            <w:tcBorders>
              <w:top w:val="nil"/>
              <w:bottom w:val="single" w:sz="4" w:space="0" w:color="000000"/>
              <w:right w:val="single" w:sz="4" w:space="0" w:color="000000"/>
            </w:tcBorders>
          </w:tcPr>
          <w:p>
            <w:pPr>
              <w:rPr>
                <w:sz w:val="2"/>
                <w:szCs w:val="2"/>
              </w:rPr>
            </w:pPr>
          </w:p>
        </w:tc>
        <w:tc>
          <w:tcPr>
            <w:tcW w:w="796" w:type="dxa"/>
            <w:tcBorders>
              <w:top w:val="single" w:sz="4" w:space="0" w:color="000000"/>
              <w:left w:val="single" w:sz="4" w:space="0" w:color="000000"/>
              <w:bottom w:val="single" w:sz="4" w:space="0" w:color="000000"/>
            </w:tcBorders>
          </w:tcPr>
          <w:p>
            <w:pPr>
              <w:pStyle w:val="TableParagraph"/>
              <w:spacing w:before="34"/>
              <w:ind w:left="4" w:right="6"/>
              <w:jc w:val="center"/>
              <w:rPr>
                <w:b/>
                <w:sz w:val="20"/>
              </w:rPr>
            </w:pPr>
            <w:r>
              <w:rPr>
                <w:b/>
                <w:spacing w:val="-4"/>
                <w:sz w:val="20"/>
              </w:rPr>
              <w:t>2015</w:t>
            </w:r>
          </w:p>
        </w:tc>
        <w:tc>
          <w:tcPr>
            <w:tcW w:w="794" w:type="dxa"/>
            <w:tcBorders>
              <w:top w:val="single" w:sz="4" w:space="0" w:color="000000"/>
              <w:bottom w:val="single" w:sz="4" w:space="0" w:color="000000"/>
            </w:tcBorders>
          </w:tcPr>
          <w:p>
            <w:pPr>
              <w:pStyle w:val="TableParagraph"/>
              <w:spacing w:before="34"/>
              <w:ind w:left="12" w:right="12"/>
              <w:jc w:val="center"/>
              <w:rPr>
                <w:b/>
                <w:sz w:val="20"/>
              </w:rPr>
            </w:pPr>
            <w:r>
              <w:rPr>
                <w:b/>
                <w:spacing w:val="-4"/>
                <w:sz w:val="20"/>
              </w:rPr>
              <w:t>2016</w:t>
            </w:r>
          </w:p>
        </w:tc>
        <w:tc>
          <w:tcPr>
            <w:tcW w:w="794" w:type="dxa"/>
            <w:tcBorders>
              <w:top w:val="single" w:sz="4" w:space="0" w:color="000000"/>
              <w:bottom w:val="single" w:sz="4" w:space="0" w:color="000000"/>
            </w:tcBorders>
          </w:tcPr>
          <w:p>
            <w:pPr>
              <w:pStyle w:val="TableParagraph"/>
              <w:spacing w:before="34"/>
              <w:ind w:left="11" w:right="12"/>
              <w:jc w:val="center"/>
              <w:rPr>
                <w:b/>
                <w:sz w:val="20"/>
              </w:rPr>
            </w:pPr>
            <w:r>
              <w:rPr>
                <w:b/>
                <w:spacing w:val="-4"/>
                <w:sz w:val="20"/>
              </w:rPr>
              <w:t>2017</w:t>
            </w:r>
          </w:p>
        </w:tc>
        <w:tc>
          <w:tcPr>
            <w:tcW w:w="795" w:type="dxa"/>
            <w:tcBorders>
              <w:top w:val="single" w:sz="4" w:space="0" w:color="000000"/>
              <w:bottom w:val="single" w:sz="4" w:space="0" w:color="000000"/>
            </w:tcBorders>
          </w:tcPr>
          <w:p>
            <w:pPr>
              <w:pStyle w:val="TableParagraph"/>
              <w:spacing w:before="34"/>
              <w:ind w:left="12" w:right="13"/>
              <w:jc w:val="center"/>
              <w:rPr>
                <w:b/>
                <w:sz w:val="20"/>
              </w:rPr>
            </w:pPr>
            <w:r>
              <w:rPr>
                <w:b/>
                <w:spacing w:val="-4"/>
                <w:sz w:val="20"/>
              </w:rPr>
              <w:t>2018</w:t>
            </w:r>
          </w:p>
        </w:tc>
        <w:tc>
          <w:tcPr>
            <w:tcW w:w="794" w:type="dxa"/>
            <w:tcBorders>
              <w:top w:val="single" w:sz="4" w:space="0" w:color="000000"/>
              <w:bottom w:val="single" w:sz="4" w:space="0" w:color="000000"/>
              <w:right w:val="single" w:sz="4" w:space="0" w:color="000000"/>
            </w:tcBorders>
          </w:tcPr>
          <w:p>
            <w:pPr>
              <w:pStyle w:val="TableParagraph"/>
              <w:spacing w:before="34"/>
              <w:ind w:left="1" w:right="1"/>
              <w:jc w:val="center"/>
              <w:rPr>
                <w:b/>
                <w:sz w:val="20"/>
              </w:rPr>
            </w:pPr>
            <w:r>
              <w:rPr>
                <w:b/>
                <w:spacing w:val="-4"/>
                <w:sz w:val="20"/>
              </w:rPr>
              <w:t>2019</w:t>
            </w:r>
          </w:p>
        </w:tc>
        <w:tc>
          <w:tcPr>
            <w:tcW w:w="797" w:type="dxa"/>
            <w:tcBorders>
              <w:top w:val="single" w:sz="4" w:space="0" w:color="000000"/>
              <w:left w:val="single" w:sz="4" w:space="0" w:color="000000"/>
              <w:bottom w:val="single" w:sz="4" w:space="0" w:color="000000"/>
            </w:tcBorders>
          </w:tcPr>
          <w:p>
            <w:pPr>
              <w:pStyle w:val="TableParagraph"/>
              <w:spacing w:before="34"/>
              <w:ind w:left="4" w:right="12"/>
              <w:jc w:val="center"/>
              <w:rPr>
                <w:b/>
                <w:sz w:val="20"/>
              </w:rPr>
            </w:pPr>
            <w:r>
              <w:rPr>
                <w:b/>
                <w:spacing w:val="-4"/>
                <w:sz w:val="20"/>
              </w:rPr>
              <w:t>2015</w:t>
            </w:r>
          </w:p>
        </w:tc>
        <w:tc>
          <w:tcPr>
            <w:tcW w:w="795" w:type="dxa"/>
            <w:tcBorders>
              <w:top w:val="single" w:sz="4" w:space="0" w:color="000000"/>
              <w:bottom w:val="single" w:sz="4" w:space="0" w:color="000000"/>
            </w:tcBorders>
          </w:tcPr>
          <w:p>
            <w:pPr>
              <w:pStyle w:val="TableParagraph"/>
              <w:spacing w:before="34"/>
              <w:ind w:left="7" w:right="13"/>
              <w:jc w:val="center"/>
              <w:rPr>
                <w:b/>
                <w:sz w:val="20"/>
              </w:rPr>
            </w:pPr>
            <w:r>
              <w:rPr>
                <w:b/>
                <w:spacing w:val="-4"/>
                <w:sz w:val="20"/>
              </w:rPr>
              <w:t>2016</w:t>
            </w:r>
          </w:p>
        </w:tc>
        <w:tc>
          <w:tcPr>
            <w:tcW w:w="795" w:type="dxa"/>
            <w:tcBorders>
              <w:top w:val="single" w:sz="4" w:space="0" w:color="000000"/>
              <w:bottom w:val="single" w:sz="4" w:space="0" w:color="000000"/>
            </w:tcBorders>
          </w:tcPr>
          <w:p>
            <w:pPr>
              <w:pStyle w:val="TableParagraph"/>
              <w:spacing w:before="34"/>
              <w:ind w:left="6" w:right="13"/>
              <w:jc w:val="center"/>
              <w:rPr>
                <w:b/>
                <w:sz w:val="20"/>
              </w:rPr>
            </w:pPr>
            <w:r>
              <w:rPr>
                <w:b/>
                <w:spacing w:val="-4"/>
                <w:sz w:val="20"/>
              </w:rPr>
              <w:t>2017</w:t>
            </w:r>
          </w:p>
        </w:tc>
        <w:tc>
          <w:tcPr>
            <w:tcW w:w="795" w:type="dxa"/>
            <w:tcBorders>
              <w:top w:val="single" w:sz="4" w:space="0" w:color="000000"/>
              <w:bottom w:val="single" w:sz="4" w:space="0" w:color="000000"/>
            </w:tcBorders>
          </w:tcPr>
          <w:p>
            <w:pPr>
              <w:pStyle w:val="TableParagraph"/>
              <w:spacing w:before="34"/>
              <w:ind w:left="4" w:right="13"/>
              <w:jc w:val="center"/>
              <w:rPr>
                <w:b/>
                <w:sz w:val="20"/>
              </w:rPr>
            </w:pPr>
            <w:r>
              <w:rPr>
                <w:b/>
                <w:spacing w:val="-4"/>
                <w:sz w:val="20"/>
              </w:rPr>
              <w:t>2018</w:t>
            </w:r>
          </w:p>
        </w:tc>
        <w:tc>
          <w:tcPr>
            <w:tcW w:w="794" w:type="dxa"/>
            <w:tcBorders>
              <w:top w:val="single" w:sz="4" w:space="0" w:color="000000"/>
              <w:bottom w:val="single" w:sz="4" w:space="0" w:color="000000"/>
            </w:tcBorders>
          </w:tcPr>
          <w:p>
            <w:pPr>
              <w:pStyle w:val="TableParagraph"/>
              <w:spacing w:before="34"/>
              <w:ind w:left="4" w:right="12"/>
              <w:jc w:val="center"/>
              <w:rPr>
                <w:b/>
                <w:sz w:val="20"/>
              </w:rPr>
            </w:pPr>
            <w:r>
              <w:rPr>
                <w:b/>
                <w:spacing w:val="-4"/>
                <w:sz w:val="20"/>
              </w:rPr>
              <w:t>2019</w:t>
            </w:r>
          </w:p>
        </w:tc>
      </w:tr>
      <w:tr>
        <w:trPr>
          <w:trHeight w:val="299" w:hRule="atLeast"/>
        </w:trPr>
        <w:tc>
          <w:tcPr>
            <w:tcW w:w="1433" w:type="dxa"/>
            <w:tcBorders>
              <w:top w:val="single" w:sz="4" w:space="0" w:color="000000"/>
              <w:bottom w:val="single" w:sz="4" w:space="0" w:color="000000"/>
              <w:right w:val="single" w:sz="4" w:space="0" w:color="000000"/>
            </w:tcBorders>
          </w:tcPr>
          <w:p>
            <w:pPr>
              <w:pStyle w:val="TableParagraph"/>
              <w:rPr>
                <w:sz w:val="22"/>
              </w:rPr>
            </w:pPr>
          </w:p>
        </w:tc>
        <w:tc>
          <w:tcPr>
            <w:tcW w:w="7949" w:type="dxa"/>
            <w:gridSpan w:val="10"/>
            <w:tcBorders>
              <w:top w:val="single" w:sz="4" w:space="0" w:color="000000"/>
              <w:left w:val="single" w:sz="4" w:space="0" w:color="000000"/>
              <w:bottom w:val="single" w:sz="4" w:space="0" w:color="000000"/>
            </w:tcBorders>
          </w:tcPr>
          <w:p>
            <w:pPr>
              <w:pStyle w:val="TableParagraph"/>
              <w:spacing w:before="34"/>
              <w:ind w:left="4" w:right="15"/>
              <w:jc w:val="center"/>
              <w:rPr>
                <w:b/>
                <w:sz w:val="20"/>
              </w:rPr>
            </w:pPr>
            <w:r>
              <w:rPr>
                <w:b/>
                <w:spacing w:val="-2"/>
                <w:sz w:val="20"/>
              </w:rPr>
              <w:t>Мушкарци</w:t>
            </w:r>
          </w:p>
        </w:tc>
      </w:tr>
      <w:tr>
        <w:trPr>
          <w:trHeight w:val="300" w:hRule="atLeast"/>
        </w:trPr>
        <w:tc>
          <w:tcPr>
            <w:tcW w:w="1433" w:type="dxa"/>
            <w:tcBorders>
              <w:top w:val="single" w:sz="4" w:space="0" w:color="000000"/>
              <w:right w:val="single" w:sz="4" w:space="0" w:color="000000"/>
            </w:tcBorders>
          </w:tcPr>
          <w:p>
            <w:pPr>
              <w:pStyle w:val="TableParagraph"/>
              <w:spacing w:before="34"/>
              <w:ind w:left="122"/>
              <w:rPr>
                <w:b/>
                <w:sz w:val="20"/>
              </w:rPr>
            </w:pPr>
            <w:r>
              <w:rPr>
                <w:b/>
                <w:spacing w:val="-2"/>
                <w:sz w:val="20"/>
              </w:rPr>
              <w:t>ЕУ-</w:t>
            </w:r>
            <w:r>
              <w:rPr>
                <w:b/>
                <w:spacing w:val="-5"/>
                <w:sz w:val="20"/>
              </w:rPr>
              <w:t>28</w:t>
            </w:r>
          </w:p>
        </w:tc>
        <w:tc>
          <w:tcPr>
            <w:tcW w:w="796" w:type="dxa"/>
            <w:tcBorders>
              <w:top w:val="single" w:sz="4" w:space="0" w:color="000000"/>
              <w:left w:val="single" w:sz="4" w:space="0" w:color="000000"/>
            </w:tcBorders>
          </w:tcPr>
          <w:p>
            <w:pPr>
              <w:pStyle w:val="TableParagraph"/>
              <w:spacing w:before="29"/>
              <w:ind w:right="6"/>
              <w:jc w:val="center"/>
              <w:rPr>
                <w:sz w:val="20"/>
              </w:rPr>
            </w:pPr>
            <w:r>
              <w:rPr>
                <w:spacing w:val="-4"/>
                <w:sz w:val="20"/>
              </w:rPr>
              <w:t>70,8</w:t>
            </w:r>
          </w:p>
        </w:tc>
        <w:tc>
          <w:tcPr>
            <w:tcW w:w="794" w:type="dxa"/>
            <w:tcBorders>
              <w:top w:val="single" w:sz="4" w:space="0" w:color="000000"/>
            </w:tcBorders>
          </w:tcPr>
          <w:p>
            <w:pPr>
              <w:pStyle w:val="TableParagraph"/>
              <w:spacing w:before="29"/>
              <w:ind w:left="9" w:right="12"/>
              <w:jc w:val="center"/>
              <w:rPr>
                <w:sz w:val="20"/>
              </w:rPr>
            </w:pPr>
            <w:r>
              <w:rPr>
                <w:spacing w:val="-4"/>
                <w:sz w:val="20"/>
              </w:rPr>
              <w:t>71,8</w:t>
            </w:r>
          </w:p>
        </w:tc>
        <w:tc>
          <w:tcPr>
            <w:tcW w:w="794" w:type="dxa"/>
            <w:tcBorders>
              <w:top w:val="single" w:sz="4" w:space="0" w:color="000000"/>
            </w:tcBorders>
          </w:tcPr>
          <w:p>
            <w:pPr>
              <w:pStyle w:val="TableParagraph"/>
              <w:spacing w:before="29"/>
              <w:ind w:left="7" w:right="12"/>
              <w:jc w:val="center"/>
              <w:rPr>
                <w:sz w:val="20"/>
              </w:rPr>
            </w:pPr>
            <w:r>
              <w:rPr>
                <w:spacing w:val="-4"/>
                <w:sz w:val="20"/>
              </w:rPr>
              <w:t>72,9</w:t>
            </w:r>
          </w:p>
        </w:tc>
        <w:tc>
          <w:tcPr>
            <w:tcW w:w="795" w:type="dxa"/>
            <w:tcBorders>
              <w:top w:val="single" w:sz="4" w:space="0" w:color="000000"/>
            </w:tcBorders>
          </w:tcPr>
          <w:p>
            <w:pPr>
              <w:pStyle w:val="TableParagraph"/>
              <w:spacing w:before="29"/>
              <w:ind w:left="7" w:right="13"/>
              <w:jc w:val="center"/>
              <w:rPr>
                <w:sz w:val="20"/>
              </w:rPr>
            </w:pPr>
            <w:r>
              <w:rPr>
                <w:spacing w:val="-4"/>
                <w:sz w:val="20"/>
              </w:rPr>
              <w:t>73,8</w:t>
            </w:r>
          </w:p>
        </w:tc>
        <w:tc>
          <w:tcPr>
            <w:tcW w:w="794" w:type="dxa"/>
            <w:tcBorders>
              <w:top w:val="single" w:sz="4" w:space="0" w:color="000000"/>
              <w:right w:val="single" w:sz="4" w:space="0" w:color="000000"/>
            </w:tcBorders>
          </w:tcPr>
          <w:p>
            <w:pPr>
              <w:pStyle w:val="TableParagraph"/>
              <w:spacing w:before="29"/>
              <w:ind w:right="1"/>
              <w:jc w:val="center"/>
              <w:rPr>
                <w:sz w:val="20"/>
              </w:rPr>
            </w:pPr>
            <w:r>
              <w:rPr>
                <w:spacing w:val="-4"/>
                <w:sz w:val="20"/>
              </w:rPr>
              <w:t>74,4</w:t>
            </w:r>
          </w:p>
        </w:tc>
        <w:tc>
          <w:tcPr>
            <w:tcW w:w="797" w:type="dxa"/>
            <w:tcBorders>
              <w:top w:val="single" w:sz="4" w:space="0" w:color="000000"/>
              <w:left w:val="single" w:sz="4" w:space="0" w:color="000000"/>
            </w:tcBorders>
          </w:tcPr>
          <w:p>
            <w:pPr>
              <w:pStyle w:val="TableParagraph"/>
              <w:spacing w:before="29"/>
              <w:ind w:right="12"/>
              <w:jc w:val="center"/>
              <w:rPr>
                <w:sz w:val="20"/>
              </w:rPr>
            </w:pPr>
            <w:r>
              <w:rPr>
                <w:spacing w:val="-5"/>
                <w:sz w:val="20"/>
              </w:rPr>
              <w:t>9,5</w:t>
            </w:r>
          </w:p>
        </w:tc>
        <w:tc>
          <w:tcPr>
            <w:tcW w:w="795" w:type="dxa"/>
            <w:tcBorders>
              <w:top w:val="single" w:sz="4" w:space="0" w:color="000000"/>
            </w:tcBorders>
          </w:tcPr>
          <w:p>
            <w:pPr>
              <w:pStyle w:val="TableParagraph"/>
              <w:spacing w:before="29"/>
              <w:ind w:left="3" w:right="13"/>
              <w:jc w:val="center"/>
              <w:rPr>
                <w:sz w:val="20"/>
              </w:rPr>
            </w:pPr>
            <w:r>
              <w:rPr>
                <w:spacing w:val="-5"/>
                <w:sz w:val="20"/>
              </w:rPr>
              <w:t>8,5</w:t>
            </w:r>
          </w:p>
        </w:tc>
        <w:tc>
          <w:tcPr>
            <w:tcW w:w="795" w:type="dxa"/>
            <w:tcBorders>
              <w:top w:val="single" w:sz="4" w:space="0" w:color="000000"/>
            </w:tcBorders>
          </w:tcPr>
          <w:p>
            <w:pPr>
              <w:pStyle w:val="TableParagraph"/>
              <w:spacing w:before="29"/>
              <w:ind w:left="2" w:right="13"/>
              <w:jc w:val="center"/>
              <w:rPr>
                <w:sz w:val="20"/>
              </w:rPr>
            </w:pPr>
            <w:r>
              <w:rPr>
                <w:spacing w:val="-5"/>
                <w:sz w:val="20"/>
              </w:rPr>
              <w:t>7,6</w:t>
            </w:r>
          </w:p>
        </w:tc>
        <w:tc>
          <w:tcPr>
            <w:tcW w:w="795" w:type="dxa"/>
            <w:tcBorders>
              <w:top w:val="single" w:sz="4" w:space="0" w:color="000000"/>
            </w:tcBorders>
          </w:tcPr>
          <w:p>
            <w:pPr>
              <w:pStyle w:val="TableParagraph"/>
              <w:spacing w:before="29"/>
              <w:ind w:right="13"/>
              <w:jc w:val="center"/>
              <w:rPr>
                <w:sz w:val="20"/>
              </w:rPr>
            </w:pPr>
            <w:r>
              <w:rPr>
                <w:spacing w:val="-5"/>
                <w:sz w:val="20"/>
              </w:rPr>
              <w:t>6,7</w:t>
            </w:r>
          </w:p>
        </w:tc>
        <w:tc>
          <w:tcPr>
            <w:tcW w:w="794" w:type="dxa"/>
            <w:tcBorders>
              <w:top w:val="single" w:sz="4" w:space="0" w:color="000000"/>
            </w:tcBorders>
          </w:tcPr>
          <w:p>
            <w:pPr>
              <w:pStyle w:val="TableParagraph"/>
              <w:spacing w:before="29"/>
              <w:ind w:right="12"/>
              <w:jc w:val="center"/>
              <w:rPr>
                <w:sz w:val="20"/>
              </w:rPr>
            </w:pPr>
            <w:r>
              <w:rPr>
                <w:spacing w:val="-5"/>
                <w:sz w:val="20"/>
              </w:rPr>
              <w:t>6,2</w:t>
            </w:r>
          </w:p>
        </w:tc>
      </w:tr>
      <w:tr>
        <w:trPr>
          <w:trHeight w:val="301" w:hRule="atLeast"/>
        </w:trPr>
        <w:tc>
          <w:tcPr>
            <w:tcW w:w="1433" w:type="dxa"/>
            <w:tcBorders>
              <w:bottom w:val="single" w:sz="4" w:space="0" w:color="000000"/>
              <w:right w:val="single" w:sz="4" w:space="0" w:color="000000"/>
            </w:tcBorders>
          </w:tcPr>
          <w:p>
            <w:pPr>
              <w:pStyle w:val="TableParagraph"/>
              <w:spacing w:before="33"/>
              <w:ind w:left="122"/>
              <w:rPr>
                <w:b/>
                <w:sz w:val="20"/>
              </w:rPr>
            </w:pPr>
            <w:r>
              <w:rPr>
                <w:b/>
                <w:spacing w:val="-2"/>
                <w:sz w:val="20"/>
              </w:rPr>
              <w:t>Србија</w:t>
            </w:r>
          </w:p>
        </w:tc>
        <w:tc>
          <w:tcPr>
            <w:tcW w:w="796" w:type="dxa"/>
            <w:tcBorders>
              <w:left w:val="single" w:sz="4" w:space="0" w:color="000000"/>
              <w:bottom w:val="single" w:sz="4" w:space="0" w:color="000000"/>
            </w:tcBorders>
          </w:tcPr>
          <w:p>
            <w:pPr>
              <w:pStyle w:val="TableParagraph"/>
              <w:spacing w:before="28"/>
              <w:ind w:right="6"/>
              <w:jc w:val="center"/>
              <w:rPr>
                <w:sz w:val="20"/>
              </w:rPr>
            </w:pPr>
            <w:r>
              <w:rPr>
                <w:spacing w:val="-4"/>
                <w:sz w:val="20"/>
              </w:rPr>
              <w:t>59,1</w:t>
            </w:r>
          </w:p>
        </w:tc>
        <w:tc>
          <w:tcPr>
            <w:tcW w:w="794" w:type="dxa"/>
            <w:tcBorders>
              <w:bottom w:val="single" w:sz="4" w:space="0" w:color="000000"/>
            </w:tcBorders>
          </w:tcPr>
          <w:p>
            <w:pPr>
              <w:pStyle w:val="TableParagraph"/>
              <w:spacing w:before="28"/>
              <w:ind w:left="9" w:right="12"/>
              <w:jc w:val="center"/>
              <w:rPr>
                <w:sz w:val="20"/>
              </w:rPr>
            </w:pPr>
            <w:r>
              <w:rPr>
                <w:spacing w:val="-4"/>
                <w:sz w:val="20"/>
              </w:rPr>
              <w:t>61,9</w:t>
            </w:r>
          </w:p>
        </w:tc>
        <w:tc>
          <w:tcPr>
            <w:tcW w:w="794" w:type="dxa"/>
            <w:tcBorders>
              <w:bottom w:val="single" w:sz="4" w:space="0" w:color="000000"/>
            </w:tcBorders>
          </w:tcPr>
          <w:p>
            <w:pPr>
              <w:pStyle w:val="TableParagraph"/>
              <w:spacing w:before="28"/>
              <w:ind w:left="7" w:right="12"/>
              <w:jc w:val="center"/>
              <w:rPr>
                <w:sz w:val="20"/>
              </w:rPr>
            </w:pPr>
            <w:r>
              <w:rPr>
                <w:spacing w:val="-4"/>
                <w:sz w:val="20"/>
              </w:rPr>
              <w:t>63,9</w:t>
            </w:r>
          </w:p>
        </w:tc>
        <w:tc>
          <w:tcPr>
            <w:tcW w:w="795" w:type="dxa"/>
            <w:tcBorders>
              <w:bottom w:val="single" w:sz="4" w:space="0" w:color="000000"/>
            </w:tcBorders>
          </w:tcPr>
          <w:p>
            <w:pPr>
              <w:pStyle w:val="TableParagraph"/>
              <w:spacing w:before="28"/>
              <w:ind w:left="7" w:right="13"/>
              <w:jc w:val="center"/>
              <w:rPr>
                <w:sz w:val="20"/>
              </w:rPr>
            </w:pPr>
            <w:r>
              <w:rPr>
                <w:spacing w:val="-4"/>
                <w:sz w:val="20"/>
              </w:rPr>
              <w:t>65,6</w:t>
            </w:r>
          </w:p>
        </w:tc>
        <w:tc>
          <w:tcPr>
            <w:tcW w:w="794" w:type="dxa"/>
            <w:tcBorders>
              <w:bottom w:val="single" w:sz="4" w:space="0" w:color="000000"/>
              <w:right w:val="single" w:sz="4" w:space="0" w:color="000000"/>
            </w:tcBorders>
          </w:tcPr>
          <w:p>
            <w:pPr>
              <w:pStyle w:val="TableParagraph"/>
              <w:spacing w:before="28"/>
              <w:ind w:right="1"/>
              <w:jc w:val="center"/>
              <w:rPr>
                <w:sz w:val="20"/>
              </w:rPr>
            </w:pPr>
            <w:r>
              <w:rPr>
                <w:spacing w:val="-4"/>
                <w:sz w:val="20"/>
              </w:rPr>
              <w:t>67,1</w:t>
            </w:r>
          </w:p>
        </w:tc>
        <w:tc>
          <w:tcPr>
            <w:tcW w:w="797" w:type="dxa"/>
            <w:tcBorders>
              <w:left w:val="single" w:sz="4" w:space="0" w:color="000000"/>
              <w:bottom w:val="single" w:sz="4" w:space="0" w:color="000000"/>
            </w:tcBorders>
          </w:tcPr>
          <w:p>
            <w:pPr>
              <w:pStyle w:val="TableParagraph"/>
              <w:spacing w:before="28"/>
              <w:ind w:right="12"/>
              <w:jc w:val="center"/>
              <w:rPr>
                <w:sz w:val="20"/>
              </w:rPr>
            </w:pPr>
            <w:r>
              <w:rPr>
                <w:spacing w:val="-4"/>
                <w:sz w:val="20"/>
              </w:rPr>
              <w:t>17,4</w:t>
            </w:r>
          </w:p>
        </w:tc>
        <w:tc>
          <w:tcPr>
            <w:tcW w:w="795" w:type="dxa"/>
            <w:tcBorders>
              <w:bottom w:val="single" w:sz="4" w:space="0" w:color="000000"/>
            </w:tcBorders>
          </w:tcPr>
          <w:p>
            <w:pPr>
              <w:pStyle w:val="TableParagraph"/>
              <w:spacing w:before="28"/>
              <w:ind w:left="3" w:right="13"/>
              <w:jc w:val="center"/>
              <w:rPr>
                <w:sz w:val="20"/>
              </w:rPr>
            </w:pPr>
            <w:r>
              <w:rPr>
                <w:spacing w:val="-4"/>
                <w:sz w:val="20"/>
              </w:rPr>
              <w:t>15,3</w:t>
            </w:r>
          </w:p>
        </w:tc>
        <w:tc>
          <w:tcPr>
            <w:tcW w:w="795" w:type="dxa"/>
            <w:tcBorders>
              <w:bottom w:val="single" w:sz="4" w:space="0" w:color="000000"/>
            </w:tcBorders>
          </w:tcPr>
          <w:p>
            <w:pPr>
              <w:pStyle w:val="TableParagraph"/>
              <w:spacing w:before="28"/>
              <w:ind w:left="1" w:right="13"/>
              <w:jc w:val="center"/>
              <w:rPr>
                <w:sz w:val="20"/>
              </w:rPr>
            </w:pPr>
            <w:r>
              <w:rPr>
                <w:spacing w:val="-4"/>
                <w:sz w:val="20"/>
              </w:rPr>
              <w:t>13,5</w:t>
            </w:r>
          </w:p>
        </w:tc>
        <w:tc>
          <w:tcPr>
            <w:tcW w:w="795" w:type="dxa"/>
            <w:tcBorders>
              <w:bottom w:val="single" w:sz="4" w:space="0" w:color="000000"/>
            </w:tcBorders>
          </w:tcPr>
          <w:p>
            <w:pPr>
              <w:pStyle w:val="TableParagraph"/>
              <w:spacing w:before="28"/>
              <w:ind w:right="13"/>
              <w:jc w:val="center"/>
              <w:rPr>
                <w:sz w:val="20"/>
              </w:rPr>
            </w:pPr>
            <w:r>
              <w:rPr>
                <w:spacing w:val="-4"/>
                <w:sz w:val="20"/>
              </w:rPr>
              <w:t>12,5</w:t>
            </w:r>
          </w:p>
        </w:tc>
        <w:tc>
          <w:tcPr>
            <w:tcW w:w="794" w:type="dxa"/>
            <w:tcBorders>
              <w:bottom w:val="single" w:sz="4" w:space="0" w:color="000000"/>
            </w:tcBorders>
          </w:tcPr>
          <w:p>
            <w:pPr>
              <w:pStyle w:val="TableParagraph"/>
              <w:spacing w:before="28"/>
              <w:ind w:right="12"/>
              <w:jc w:val="center"/>
              <w:rPr>
                <w:sz w:val="20"/>
              </w:rPr>
            </w:pPr>
            <w:r>
              <w:rPr>
                <w:spacing w:val="-4"/>
                <w:sz w:val="20"/>
              </w:rPr>
              <w:t>10,4</w:t>
            </w:r>
          </w:p>
        </w:tc>
      </w:tr>
      <w:tr>
        <w:trPr>
          <w:trHeight w:val="299" w:hRule="atLeast"/>
        </w:trPr>
        <w:tc>
          <w:tcPr>
            <w:tcW w:w="1433" w:type="dxa"/>
            <w:tcBorders>
              <w:top w:val="single" w:sz="4" w:space="0" w:color="000000"/>
              <w:bottom w:val="single" w:sz="4" w:space="0" w:color="000000"/>
              <w:right w:val="single" w:sz="4" w:space="0" w:color="000000"/>
            </w:tcBorders>
          </w:tcPr>
          <w:p>
            <w:pPr>
              <w:pStyle w:val="TableParagraph"/>
              <w:rPr>
                <w:sz w:val="22"/>
              </w:rPr>
            </w:pPr>
          </w:p>
        </w:tc>
        <w:tc>
          <w:tcPr>
            <w:tcW w:w="7949" w:type="dxa"/>
            <w:gridSpan w:val="10"/>
            <w:tcBorders>
              <w:top w:val="single" w:sz="4" w:space="0" w:color="000000"/>
              <w:left w:val="single" w:sz="4" w:space="0" w:color="000000"/>
              <w:bottom w:val="single" w:sz="4" w:space="0" w:color="000000"/>
            </w:tcBorders>
          </w:tcPr>
          <w:p>
            <w:pPr>
              <w:pStyle w:val="TableParagraph"/>
              <w:spacing w:before="31"/>
              <w:ind w:right="15"/>
              <w:jc w:val="center"/>
              <w:rPr>
                <w:b/>
                <w:sz w:val="20"/>
              </w:rPr>
            </w:pPr>
            <w:r>
              <w:rPr>
                <w:b/>
                <w:spacing w:val="-4"/>
                <w:sz w:val="20"/>
              </w:rPr>
              <w:t>Жене</w:t>
            </w:r>
          </w:p>
        </w:tc>
      </w:tr>
      <w:tr>
        <w:trPr>
          <w:trHeight w:val="298" w:hRule="atLeast"/>
        </w:trPr>
        <w:tc>
          <w:tcPr>
            <w:tcW w:w="1433" w:type="dxa"/>
            <w:tcBorders>
              <w:top w:val="single" w:sz="4" w:space="0" w:color="000000"/>
              <w:right w:val="single" w:sz="4" w:space="0" w:color="000000"/>
            </w:tcBorders>
          </w:tcPr>
          <w:p>
            <w:pPr>
              <w:pStyle w:val="TableParagraph"/>
              <w:spacing w:before="31"/>
              <w:ind w:left="122"/>
              <w:rPr>
                <w:b/>
                <w:sz w:val="20"/>
              </w:rPr>
            </w:pPr>
            <w:r>
              <w:rPr>
                <w:b/>
                <w:spacing w:val="-2"/>
                <w:sz w:val="20"/>
              </w:rPr>
              <w:t>ЕУ-</w:t>
            </w:r>
            <w:r>
              <w:rPr>
                <w:b/>
                <w:spacing w:val="-5"/>
                <w:sz w:val="20"/>
              </w:rPr>
              <w:t>28</w:t>
            </w:r>
          </w:p>
        </w:tc>
        <w:tc>
          <w:tcPr>
            <w:tcW w:w="796" w:type="dxa"/>
            <w:tcBorders>
              <w:top w:val="single" w:sz="4" w:space="0" w:color="000000"/>
              <w:left w:val="single" w:sz="4" w:space="0" w:color="000000"/>
            </w:tcBorders>
          </w:tcPr>
          <w:p>
            <w:pPr>
              <w:pStyle w:val="TableParagraph"/>
              <w:spacing w:before="26"/>
              <w:ind w:right="6"/>
              <w:jc w:val="center"/>
              <w:rPr>
                <w:sz w:val="20"/>
              </w:rPr>
            </w:pPr>
            <w:r>
              <w:rPr>
                <w:spacing w:val="-4"/>
                <w:sz w:val="20"/>
              </w:rPr>
              <w:t>60,4</w:t>
            </w:r>
          </w:p>
        </w:tc>
        <w:tc>
          <w:tcPr>
            <w:tcW w:w="794" w:type="dxa"/>
            <w:tcBorders>
              <w:top w:val="single" w:sz="4" w:space="0" w:color="000000"/>
            </w:tcBorders>
          </w:tcPr>
          <w:p>
            <w:pPr>
              <w:pStyle w:val="TableParagraph"/>
              <w:spacing w:before="26"/>
              <w:ind w:left="9" w:right="12"/>
              <w:jc w:val="center"/>
              <w:rPr>
                <w:sz w:val="20"/>
              </w:rPr>
            </w:pPr>
            <w:r>
              <w:rPr>
                <w:spacing w:val="-4"/>
                <w:sz w:val="20"/>
              </w:rPr>
              <w:t>61,3</w:t>
            </w:r>
          </w:p>
        </w:tc>
        <w:tc>
          <w:tcPr>
            <w:tcW w:w="794" w:type="dxa"/>
            <w:tcBorders>
              <w:top w:val="single" w:sz="4" w:space="0" w:color="000000"/>
            </w:tcBorders>
          </w:tcPr>
          <w:p>
            <w:pPr>
              <w:pStyle w:val="TableParagraph"/>
              <w:spacing w:before="26"/>
              <w:ind w:left="7" w:right="12"/>
              <w:jc w:val="center"/>
              <w:rPr>
                <w:sz w:val="20"/>
              </w:rPr>
            </w:pPr>
            <w:r>
              <w:rPr>
                <w:spacing w:val="-4"/>
                <w:sz w:val="20"/>
              </w:rPr>
              <w:t>62,4</w:t>
            </w:r>
          </w:p>
        </w:tc>
        <w:tc>
          <w:tcPr>
            <w:tcW w:w="795" w:type="dxa"/>
            <w:tcBorders>
              <w:top w:val="single" w:sz="4" w:space="0" w:color="000000"/>
            </w:tcBorders>
          </w:tcPr>
          <w:p>
            <w:pPr>
              <w:pStyle w:val="TableParagraph"/>
              <w:spacing w:before="26"/>
              <w:ind w:left="7" w:right="13"/>
              <w:jc w:val="center"/>
              <w:rPr>
                <w:sz w:val="20"/>
              </w:rPr>
            </w:pPr>
            <w:r>
              <w:rPr>
                <w:spacing w:val="-4"/>
                <w:sz w:val="20"/>
              </w:rPr>
              <w:t>63,3</w:t>
            </w:r>
          </w:p>
        </w:tc>
        <w:tc>
          <w:tcPr>
            <w:tcW w:w="794" w:type="dxa"/>
            <w:tcBorders>
              <w:top w:val="single" w:sz="4" w:space="0" w:color="000000"/>
              <w:right w:val="single" w:sz="4" w:space="0" w:color="000000"/>
            </w:tcBorders>
          </w:tcPr>
          <w:p>
            <w:pPr>
              <w:pStyle w:val="TableParagraph"/>
              <w:spacing w:before="26"/>
              <w:ind w:right="1"/>
              <w:jc w:val="center"/>
              <w:rPr>
                <w:sz w:val="20"/>
              </w:rPr>
            </w:pPr>
            <w:r>
              <w:rPr>
                <w:spacing w:val="-4"/>
                <w:sz w:val="20"/>
              </w:rPr>
              <w:t>64,1</w:t>
            </w:r>
          </w:p>
        </w:tc>
        <w:tc>
          <w:tcPr>
            <w:tcW w:w="797" w:type="dxa"/>
            <w:tcBorders>
              <w:top w:val="single" w:sz="4" w:space="0" w:color="000000"/>
              <w:left w:val="single" w:sz="4" w:space="0" w:color="000000"/>
            </w:tcBorders>
          </w:tcPr>
          <w:p>
            <w:pPr>
              <w:pStyle w:val="TableParagraph"/>
              <w:spacing w:before="26"/>
              <w:ind w:right="12"/>
              <w:jc w:val="center"/>
              <w:rPr>
                <w:sz w:val="20"/>
              </w:rPr>
            </w:pPr>
            <w:r>
              <w:rPr>
                <w:spacing w:val="-5"/>
                <w:sz w:val="20"/>
              </w:rPr>
              <w:t>9,6</w:t>
            </w:r>
          </w:p>
        </w:tc>
        <w:tc>
          <w:tcPr>
            <w:tcW w:w="795" w:type="dxa"/>
            <w:tcBorders>
              <w:top w:val="single" w:sz="4" w:space="0" w:color="000000"/>
            </w:tcBorders>
          </w:tcPr>
          <w:p>
            <w:pPr>
              <w:pStyle w:val="TableParagraph"/>
              <w:spacing w:before="26"/>
              <w:ind w:left="3" w:right="13"/>
              <w:jc w:val="center"/>
              <w:rPr>
                <w:sz w:val="20"/>
              </w:rPr>
            </w:pPr>
            <w:r>
              <w:rPr>
                <w:spacing w:val="-5"/>
                <w:sz w:val="20"/>
              </w:rPr>
              <w:t>8,9</w:t>
            </w:r>
          </w:p>
        </w:tc>
        <w:tc>
          <w:tcPr>
            <w:tcW w:w="795" w:type="dxa"/>
            <w:tcBorders>
              <w:top w:val="single" w:sz="4" w:space="0" w:color="000000"/>
            </w:tcBorders>
          </w:tcPr>
          <w:p>
            <w:pPr>
              <w:pStyle w:val="TableParagraph"/>
              <w:spacing w:before="26"/>
              <w:ind w:left="2" w:right="13"/>
              <w:jc w:val="center"/>
              <w:rPr>
                <w:sz w:val="20"/>
              </w:rPr>
            </w:pPr>
            <w:r>
              <w:rPr>
                <w:spacing w:val="-5"/>
                <w:sz w:val="20"/>
              </w:rPr>
              <w:t>8,0</w:t>
            </w:r>
          </w:p>
        </w:tc>
        <w:tc>
          <w:tcPr>
            <w:tcW w:w="795" w:type="dxa"/>
            <w:tcBorders>
              <w:top w:val="single" w:sz="4" w:space="0" w:color="000000"/>
            </w:tcBorders>
          </w:tcPr>
          <w:p>
            <w:pPr>
              <w:pStyle w:val="TableParagraph"/>
              <w:spacing w:before="26"/>
              <w:ind w:right="13"/>
              <w:jc w:val="center"/>
              <w:rPr>
                <w:sz w:val="20"/>
              </w:rPr>
            </w:pPr>
            <w:r>
              <w:rPr>
                <w:spacing w:val="-5"/>
                <w:sz w:val="20"/>
              </w:rPr>
              <w:t>7,2</w:t>
            </w:r>
          </w:p>
        </w:tc>
        <w:tc>
          <w:tcPr>
            <w:tcW w:w="794" w:type="dxa"/>
            <w:tcBorders>
              <w:top w:val="single" w:sz="4" w:space="0" w:color="000000"/>
            </w:tcBorders>
          </w:tcPr>
          <w:p>
            <w:pPr>
              <w:pStyle w:val="TableParagraph"/>
              <w:spacing w:before="26"/>
              <w:ind w:right="12"/>
              <w:jc w:val="center"/>
              <w:rPr>
                <w:sz w:val="20"/>
              </w:rPr>
            </w:pPr>
            <w:r>
              <w:rPr>
                <w:spacing w:val="-5"/>
                <w:sz w:val="20"/>
              </w:rPr>
              <w:t>6,7</w:t>
            </w:r>
          </w:p>
        </w:tc>
      </w:tr>
      <w:tr>
        <w:trPr>
          <w:trHeight w:val="301" w:hRule="atLeast"/>
        </w:trPr>
        <w:tc>
          <w:tcPr>
            <w:tcW w:w="1433" w:type="dxa"/>
            <w:tcBorders>
              <w:bottom w:val="single" w:sz="4" w:space="0" w:color="000000"/>
              <w:right w:val="single" w:sz="4" w:space="0" w:color="000000"/>
            </w:tcBorders>
          </w:tcPr>
          <w:p>
            <w:pPr>
              <w:pStyle w:val="TableParagraph"/>
              <w:spacing w:before="33"/>
              <w:ind w:left="122"/>
              <w:rPr>
                <w:b/>
                <w:sz w:val="20"/>
              </w:rPr>
            </w:pPr>
            <w:r>
              <w:rPr>
                <w:b/>
                <w:spacing w:val="-2"/>
                <w:sz w:val="20"/>
              </w:rPr>
              <w:t>Србија</w:t>
            </w:r>
          </w:p>
        </w:tc>
        <w:tc>
          <w:tcPr>
            <w:tcW w:w="796" w:type="dxa"/>
            <w:tcBorders>
              <w:left w:val="single" w:sz="4" w:space="0" w:color="000000"/>
              <w:bottom w:val="single" w:sz="4" w:space="0" w:color="000000"/>
            </w:tcBorders>
          </w:tcPr>
          <w:p>
            <w:pPr>
              <w:pStyle w:val="TableParagraph"/>
              <w:spacing w:before="28"/>
              <w:ind w:right="6"/>
              <w:jc w:val="center"/>
              <w:rPr>
                <w:sz w:val="20"/>
              </w:rPr>
            </w:pPr>
            <w:r>
              <w:rPr>
                <w:spacing w:val="-4"/>
                <w:sz w:val="20"/>
              </w:rPr>
              <w:t>44,9</w:t>
            </w:r>
          </w:p>
        </w:tc>
        <w:tc>
          <w:tcPr>
            <w:tcW w:w="794" w:type="dxa"/>
            <w:tcBorders>
              <w:bottom w:val="single" w:sz="4" w:space="0" w:color="000000"/>
            </w:tcBorders>
          </w:tcPr>
          <w:p>
            <w:pPr>
              <w:pStyle w:val="TableParagraph"/>
              <w:spacing w:before="28"/>
              <w:ind w:left="9" w:right="12"/>
              <w:jc w:val="center"/>
              <w:rPr>
                <w:sz w:val="20"/>
              </w:rPr>
            </w:pPr>
            <w:r>
              <w:rPr>
                <w:spacing w:val="-4"/>
                <w:sz w:val="20"/>
              </w:rPr>
              <w:t>48,4</w:t>
            </w:r>
          </w:p>
        </w:tc>
        <w:tc>
          <w:tcPr>
            <w:tcW w:w="794" w:type="dxa"/>
            <w:tcBorders>
              <w:bottom w:val="single" w:sz="4" w:space="0" w:color="000000"/>
            </w:tcBorders>
          </w:tcPr>
          <w:p>
            <w:pPr>
              <w:pStyle w:val="TableParagraph"/>
              <w:spacing w:before="28"/>
              <w:ind w:left="7" w:right="12"/>
              <w:jc w:val="center"/>
              <w:rPr>
                <w:sz w:val="20"/>
              </w:rPr>
            </w:pPr>
            <w:r>
              <w:rPr>
                <w:spacing w:val="-4"/>
                <w:sz w:val="20"/>
              </w:rPr>
              <w:t>50,8</w:t>
            </w:r>
          </w:p>
        </w:tc>
        <w:tc>
          <w:tcPr>
            <w:tcW w:w="795" w:type="dxa"/>
            <w:tcBorders>
              <w:bottom w:val="single" w:sz="4" w:space="0" w:color="000000"/>
            </w:tcBorders>
          </w:tcPr>
          <w:p>
            <w:pPr>
              <w:pStyle w:val="TableParagraph"/>
              <w:spacing w:before="28"/>
              <w:ind w:left="7" w:right="13"/>
              <w:jc w:val="center"/>
              <w:rPr>
                <w:sz w:val="20"/>
              </w:rPr>
            </w:pPr>
            <w:r>
              <w:rPr>
                <w:spacing w:val="-4"/>
                <w:sz w:val="20"/>
              </w:rPr>
              <w:t>52,0</w:t>
            </w:r>
          </w:p>
        </w:tc>
        <w:tc>
          <w:tcPr>
            <w:tcW w:w="794" w:type="dxa"/>
            <w:tcBorders>
              <w:bottom w:val="single" w:sz="4" w:space="0" w:color="000000"/>
              <w:right w:val="single" w:sz="4" w:space="0" w:color="000000"/>
            </w:tcBorders>
          </w:tcPr>
          <w:p>
            <w:pPr>
              <w:pStyle w:val="TableParagraph"/>
              <w:spacing w:before="28"/>
              <w:ind w:right="1"/>
              <w:jc w:val="center"/>
              <w:rPr>
                <w:sz w:val="20"/>
              </w:rPr>
            </w:pPr>
            <w:r>
              <w:rPr>
                <w:spacing w:val="-4"/>
                <w:sz w:val="20"/>
              </w:rPr>
              <w:t>54,3</w:t>
            </w:r>
          </w:p>
        </w:tc>
        <w:tc>
          <w:tcPr>
            <w:tcW w:w="797" w:type="dxa"/>
            <w:tcBorders>
              <w:left w:val="single" w:sz="4" w:space="0" w:color="000000"/>
              <w:bottom w:val="single" w:sz="4" w:space="0" w:color="000000"/>
            </w:tcBorders>
          </w:tcPr>
          <w:p>
            <w:pPr>
              <w:pStyle w:val="TableParagraph"/>
              <w:spacing w:before="28"/>
              <w:ind w:right="12"/>
              <w:jc w:val="center"/>
              <w:rPr>
                <w:sz w:val="20"/>
              </w:rPr>
            </w:pPr>
            <w:r>
              <w:rPr>
                <w:spacing w:val="-4"/>
                <w:sz w:val="20"/>
              </w:rPr>
              <w:t>19,3</w:t>
            </w:r>
          </w:p>
        </w:tc>
        <w:tc>
          <w:tcPr>
            <w:tcW w:w="795" w:type="dxa"/>
            <w:tcBorders>
              <w:bottom w:val="single" w:sz="4" w:space="0" w:color="000000"/>
            </w:tcBorders>
          </w:tcPr>
          <w:p>
            <w:pPr>
              <w:pStyle w:val="TableParagraph"/>
              <w:spacing w:before="28"/>
              <w:ind w:left="3" w:right="13"/>
              <w:jc w:val="center"/>
              <w:rPr>
                <w:sz w:val="20"/>
              </w:rPr>
            </w:pPr>
            <w:r>
              <w:rPr>
                <w:spacing w:val="-4"/>
                <w:sz w:val="20"/>
              </w:rPr>
              <w:t>16,7</w:t>
            </w:r>
          </w:p>
        </w:tc>
        <w:tc>
          <w:tcPr>
            <w:tcW w:w="795" w:type="dxa"/>
            <w:tcBorders>
              <w:bottom w:val="single" w:sz="4" w:space="0" w:color="000000"/>
            </w:tcBorders>
          </w:tcPr>
          <w:p>
            <w:pPr>
              <w:pStyle w:val="TableParagraph"/>
              <w:spacing w:before="28"/>
              <w:ind w:left="1" w:right="13"/>
              <w:jc w:val="center"/>
              <w:rPr>
                <w:sz w:val="20"/>
              </w:rPr>
            </w:pPr>
            <w:r>
              <w:rPr>
                <w:spacing w:val="-4"/>
                <w:sz w:val="20"/>
              </w:rPr>
              <w:t>14,8</w:t>
            </w:r>
          </w:p>
        </w:tc>
        <w:tc>
          <w:tcPr>
            <w:tcW w:w="795" w:type="dxa"/>
            <w:tcBorders>
              <w:bottom w:val="single" w:sz="4" w:space="0" w:color="000000"/>
            </w:tcBorders>
          </w:tcPr>
          <w:p>
            <w:pPr>
              <w:pStyle w:val="TableParagraph"/>
              <w:spacing w:before="28"/>
              <w:ind w:right="13"/>
              <w:jc w:val="center"/>
              <w:rPr>
                <w:sz w:val="20"/>
              </w:rPr>
            </w:pPr>
            <w:r>
              <w:rPr>
                <w:spacing w:val="-4"/>
                <w:sz w:val="20"/>
              </w:rPr>
              <w:t>14,2</w:t>
            </w:r>
          </w:p>
        </w:tc>
        <w:tc>
          <w:tcPr>
            <w:tcW w:w="794" w:type="dxa"/>
            <w:tcBorders>
              <w:bottom w:val="single" w:sz="4" w:space="0" w:color="000000"/>
            </w:tcBorders>
          </w:tcPr>
          <w:p>
            <w:pPr>
              <w:pStyle w:val="TableParagraph"/>
              <w:spacing w:before="28"/>
              <w:ind w:right="12"/>
              <w:jc w:val="center"/>
              <w:rPr>
                <w:sz w:val="20"/>
              </w:rPr>
            </w:pPr>
            <w:r>
              <w:rPr>
                <w:spacing w:val="-4"/>
                <w:sz w:val="20"/>
              </w:rPr>
              <w:t>11,5</w:t>
            </w:r>
          </w:p>
        </w:tc>
      </w:tr>
    </w:tbl>
    <w:p>
      <w:pPr>
        <w:spacing w:before="0"/>
        <w:ind w:left="360" w:right="0" w:firstLine="0"/>
        <w:jc w:val="both"/>
        <w:rPr>
          <w:i/>
          <w:sz w:val="20"/>
        </w:rPr>
      </w:pPr>
      <w:r>
        <w:rPr>
          <w:i/>
          <w:sz w:val="20"/>
        </w:rPr>
        <w:t>Извор:</w:t>
      </w:r>
      <w:r>
        <w:rPr>
          <w:i/>
          <w:spacing w:val="-4"/>
          <w:sz w:val="20"/>
        </w:rPr>
        <w:t> </w:t>
      </w:r>
      <w:r>
        <w:rPr>
          <w:i/>
          <w:sz w:val="20"/>
        </w:rPr>
        <w:t>АРС,</w:t>
      </w:r>
      <w:r>
        <w:rPr>
          <w:i/>
          <w:spacing w:val="-4"/>
          <w:sz w:val="20"/>
        </w:rPr>
        <w:t> </w:t>
      </w:r>
      <w:r>
        <w:rPr>
          <w:i/>
          <w:sz w:val="20"/>
        </w:rPr>
        <w:t>Србија</w:t>
      </w:r>
      <w:r>
        <w:rPr>
          <w:i/>
          <w:spacing w:val="-1"/>
          <w:sz w:val="20"/>
        </w:rPr>
        <w:t> </w:t>
      </w:r>
      <w:r>
        <w:rPr>
          <w:i/>
          <w:sz w:val="20"/>
        </w:rPr>
        <w:t>–</w:t>
      </w:r>
      <w:r>
        <w:rPr>
          <w:i/>
          <w:spacing w:val="-2"/>
          <w:sz w:val="20"/>
        </w:rPr>
        <w:t> </w:t>
      </w:r>
      <w:r>
        <w:rPr>
          <w:i/>
          <w:sz w:val="20"/>
        </w:rPr>
        <w:t>РЗС,</w:t>
      </w:r>
      <w:r>
        <w:rPr>
          <w:i/>
          <w:spacing w:val="-6"/>
          <w:sz w:val="20"/>
        </w:rPr>
        <w:t> </w:t>
      </w:r>
      <w:r>
        <w:rPr>
          <w:i/>
          <w:sz w:val="20"/>
        </w:rPr>
        <w:t>ЕУ-28</w:t>
      </w:r>
      <w:r>
        <w:rPr>
          <w:i/>
          <w:spacing w:val="-2"/>
          <w:sz w:val="20"/>
        </w:rPr>
        <w:t> </w:t>
      </w:r>
      <w:r>
        <w:rPr>
          <w:i/>
          <w:sz w:val="20"/>
        </w:rPr>
        <w:t>-</w:t>
      </w:r>
      <w:r>
        <w:rPr>
          <w:i/>
          <w:spacing w:val="-5"/>
          <w:sz w:val="20"/>
        </w:rPr>
        <w:t> </w:t>
      </w:r>
      <w:r>
        <w:rPr>
          <w:i/>
          <w:spacing w:val="-2"/>
          <w:sz w:val="20"/>
        </w:rPr>
        <w:t>Eurostat</w:t>
      </w:r>
    </w:p>
    <w:p>
      <w:pPr>
        <w:spacing w:before="116"/>
        <w:ind w:left="360" w:right="0" w:firstLine="0"/>
        <w:jc w:val="both"/>
        <w:rPr>
          <w:i/>
          <w:sz w:val="24"/>
        </w:rPr>
      </w:pPr>
      <w:r>
        <w:rPr>
          <w:i/>
          <w:sz w:val="24"/>
        </w:rPr>
        <w:t>Регистрована</w:t>
      </w:r>
      <w:r>
        <w:rPr>
          <w:i/>
          <w:spacing w:val="-4"/>
          <w:sz w:val="24"/>
        </w:rPr>
        <w:t> </w:t>
      </w:r>
      <w:r>
        <w:rPr>
          <w:i/>
          <w:spacing w:val="-2"/>
          <w:sz w:val="24"/>
        </w:rPr>
        <w:t>запосленост</w:t>
      </w:r>
    </w:p>
    <w:p>
      <w:pPr>
        <w:pStyle w:val="BodyText"/>
        <w:spacing w:before="121"/>
        <w:ind w:right="714" w:firstLine="719"/>
      </w:pPr>
      <w:r>
        <w:rPr/>
        <w:t>Последњих година у Србији бележи се повећање регистроване запослености</w:t>
      </w:r>
      <w:r>
        <w:rPr>
          <w:vertAlign w:val="superscript"/>
        </w:rPr>
        <w:t>18</w:t>
      </w:r>
      <w:r>
        <w:rPr>
          <w:vertAlign w:val="baseline"/>
        </w:rPr>
        <w:t>. У просеку</w:t>
      </w:r>
      <w:r>
        <w:rPr>
          <w:spacing w:val="-14"/>
          <w:vertAlign w:val="baseline"/>
        </w:rPr>
        <w:t> </w:t>
      </w:r>
      <w:r>
        <w:rPr>
          <w:vertAlign w:val="baseline"/>
        </w:rPr>
        <w:t>2,2</w:t>
      </w:r>
      <w:r>
        <w:rPr>
          <w:spacing w:val="-7"/>
          <w:vertAlign w:val="baseline"/>
        </w:rPr>
        <w:t> </w:t>
      </w:r>
      <w:r>
        <w:rPr>
          <w:vertAlign w:val="baseline"/>
        </w:rPr>
        <w:t>милиона</w:t>
      </w:r>
      <w:r>
        <w:rPr>
          <w:spacing w:val="-8"/>
          <w:vertAlign w:val="baseline"/>
        </w:rPr>
        <w:t> </w:t>
      </w:r>
      <w:r>
        <w:rPr>
          <w:vertAlign w:val="baseline"/>
        </w:rPr>
        <w:t>лица</w:t>
      </w:r>
      <w:r>
        <w:rPr>
          <w:spacing w:val="-8"/>
          <w:vertAlign w:val="baseline"/>
        </w:rPr>
        <w:t> </w:t>
      </w:r>
      <w:r>
        <w:rPr>
          <w:vertAlign w:val="baseline"/>
        </w:rPr>
        <w:t>било</w:t>
      </w:r>
      <w:r>
        <w:rPr>
          <w:spacing w:val="-9"/>
          <w:vertAlign w:val="baseline"/>
        </w:rPr>
        <w:t> </w:t>
      </w:r>
      <w:r>
        <w:rPr>
          <w:vertAlign w:val="baseline"/>
        </w:rPr>
        <w:t>је</w:t>
      </w:r>
      <w:r>
        <w:rPr>
          <w:spacing w:val="-8"/>
          <w:vertAlign w:val="baseline"/>
        </w:rPr>
        <w:t> </w:t>
      </w:r>
      <w:r>
        <w:rPr>
          <w:vertAlign w:val="baseline"/>
        </w:rPr>
        <w:t>формално</w:t>
      </w:r>
      <w:r>
        <w:rPr>
          <w:spacing w:val="-10"/>
          <w:vertAlign w:val="baseline"/>
        </w:rPr>
        <w:t> </w:t>
      </w:r>
      <w:r>
        <w:rPr>
          <w:vertAlign w:val="baseline"/>
        </w:rPr>
        <w:t>запослено</w:t>
      </w:r>
      <w:r>
        <w:rPr>
          <w:spacing w:val="-5"/>
          <w:vertAlign w:val="baseline"/>
        </w:rPr>
        <w:t> </w:t>
      </w:r>
      <w:r>
        <w:rPr>
          <w:vertAlign w:val="baseline"/>
        </w:rPr>
        <w:t>у</w:t>
      </w:r>
      <w:r>
        <w:rPr>
          <w:spacing w:val="-14"/>
          <w:vertAlign w:val="baseline"/>
        </w:rPr>
        <w:t> </w:t>
      </w:r>
      <w:r>
        <w:rPr>
          <w:vertAlign w:val="baseline"/>
        </w:rPr>
        <w:t>2019.</w:t>
      </w:r>
      <w:r>
        <w:rPr>
          <w:spacing w:val="-7"/>
          <w:vertAlign w:val="baseline"/>
        </w:rPr>
        <w:t> </w:t>
      </w:r>
      <w:r>
        <w:rPr>
          <w:vertAlign w:val="baseline"/>
        </w:rPr>
        <w:t>години,</w:t>
      </w:r>
      <w:r>
        <w:rPr>
          <w:spacing w:val="-10"/>
          <w:vertAlign w:val="baseline"/>
        </w:rPr>
        <w:t> </w:t>
      </w:r>
      <w:r>
        <w:rPr>
          <w:vertAlign w:val="baseline"/>
        </w:rPr>
        <w:t>што</w:t>
      </w:r>
      <w:r>
        <w:rPr>
          <w:spacing w:val="-7"/>
          <w:vertAlign w:val="baseline"/>
        </w:rPr>
        <w:t> </w:t>
      </w:r>
      <w:r>
        <w:rPr>
          <w:vertAlign w:val="baseline"/>
        </w:rPr>
        <w:t>је</w:t>
      </w:r>
      <w:r>
        <w:rPr>
          <w:spacing w:val="-10"/>
          <w:vertAlign w:val="baseline"/>
        </w:rPr>
        <w:t> </w:t>
      </w:r>
      <w:r>
        <w:rPr>
          <w:vertAlign w:val="baseline"/>
        </w:rPr>
        <w:t>за</w:t>
      </w:r>
      <w:r>
        <w:rPr>
          <w:spacing w:val="-8"/>
          <w:vertAlign w:val="baseline"/>
        </w:rPr>
        <w:t> </w:t>
      </w:r>
      <w:r>
        <w:rPr>
          <w:vertAlign w:val="baseline"/>
        </w:rPr>
        <w:t>183</w:t>
      </w:r>
      <w:r>
        <w:rPr>
          <w:spacing w:val="-12"/>
          <w:vertAlign w:val="baseline"/>
        </w:rPr>
        <w:t> </w:t>
      </w:r>
      <w:r>
        <w:rPr>
          <w:vertAlign w:val="baseline"/>
        </w:rPr>
        <w:t>хиљаде (9,2%) више него у</w:t>
      </w:r>
      <w:r>
        <w:rPr>
          <w:spacing w:val="-1"/>
          <w:vertAlign w:val="baseline"/>
        </w:rPr>
        <w:t> </w:t>
      </w:r>
      <w:r>
        <w:rPr>
          <w:vertAlign w:val="baseline"/>
        </w:rPr>
        <w:t>2015. години. Повећање укупне регистроване запослености резултат је пре</w:t>
      </w:r>
      <w:r>
        <w:rPr>
          <w:spacing w:val="-11"/>
          <w:vertAlign w:val="baseline"/>
        </w:rPr>
        <w:t> </w:t>
      </w:r>
      <w:r>
        <w:rPr>
          <w:vertAlign w:val="baseline"/>
        </w:rPr>
        <w:t>свега</w:t>
      </w:r>
      <w:r>
        <w:rPr>
          <w:spacing w:val="-10"/>
          <w:vertAlign w:val="baseline"/>
        </w:rPr>
        <w:t> </w:t>
      </w:r>
      <w:r>
        <w:rPr>
          <w:vertAlign w:val="baseline"/>
        </w:rPr>
        <w:t>пораста</w:t>
      </w:r>
      <w:r>
        <w:rPr>
          <w:spacing w:val="-7"/>
          <w:vertAlign w:val="baseline"/>
        </w:rPr>
        <w:t> </w:t>
      </w:r>
      <w:r>
        <w:rPr>
          <w:vertAlign w:val="baseline"/>
        </w:rPr>
        <w:t>броја</w:t>
      </w:r>
      <w:r>
        <w:rPr>
          <w:spacing w:val="-6"/>
          <w:vertAlign w:val="baseline"/>
        </w:rPr>
        <w:t> </w:t>
      </w:r>
      <w:r>
        <w:rPr>
          <w:vertAlign w:val="baseline"/>
        </w:rPr>
        <w:t>запослених</w:t>
      </w:r>
      <w:r>
        <w:rPr>
          <w:spacing w:val="-4"/>
          <w:vertAlign w:val="baseline"/>
        </w:rPr>
        <w:t> </w:t>
      </w:r>
      <w:r>
        <w:rPr>
          <w:vertAlign w:val="baseline"/>
        </w:rPr>
        <w:t>у</w:t>
      </w:r>
      <w:r>
        <w:rPr>
          <w:spacing w:val="-13"/>
          <w:vertAlign w:val="baseline"/>
        </w:rPr>
        <w:t> </w:t>
      </w:r>
      <w:r>
        <w:rPr>
          <w:vertAlign w:val="baseline"/>
        </w:rPr>
        <w:t>правним</w:t>
      </w:r>
      <w:r>
        <w:rPr>
          <w:spacing w:val="-9"/>
          <w:vertAlign w:val="baseline"/>
        </w:rPr>
        <w:t> </w:t>
      </w:r>
      <w:r>
        <w:rPr>
          <w:vertAlign w:val="baseline"/>
        </w:rPr>
        <w:t>лицима</w:t>
      </w:r>
      <w:r>
        <w:rPr>
          <w:spacing w:val="-10"/>
          <w:vertAlign w:val="baseline"/>
        </w:rPr>
        <w:t> </w:t>
      </w:r>
      <w:r>
        <w:rPr>
          <w:vertAlign w:val="baseline"/>
        </w:rPr>
        <w:t>који</w:t>
      </w:r>
      <w:r>
        <w:rPr>
          <w:spacing w:val="-8"/>
          <w:vertAlign w:val="baseline"/>
        </w:rPr>
        <w:t> </w:t>
      </w:r>
      <w:r>
        <w:rPr>
          <w:vertAlign w:val="baseline"/>
        </w:rPr>
        <w:t>је</w:t>
      </w:r>
      <w:r>
        <w:rPr>
          <w:spacing w:val="-7"/>
          <w:vertAlign w:val="baseline"/>
        </w:rPr>
        <w:t> </w:t>
      </w:r>
      <w:r>
        <w:rPr>
          <w:vertAlign w:val="baseline"/>
        </w:rPr>
        <w:t>у</w:t>
      </w:r>
      <w:r>
        <w:rPr>
          <w:spacing w:val="-13"/>
          <w:vertAlign w:val="baseline"/>
        </w:rPr>
        <w:t> </w:t>
      </w:r>
      <w:r>
        <w:rPr>
          <w:vertAlign w:val="baseline"/>
        </w:rPr>
        <w:t>посматрном</w:t>
      </w:r>
      <w:r>
        <w:rPr>
          <w:spacing w:val="-9"/>
          <w:vertAlign w:val="baseline"/>
        </w:rPr>
        <w:t> </w:t>
      </w:r>
      <w:r>
        <w:rPr>
          <w:vertAlign w:val="baseline"/>
        </w:rPr>
        <w:t>приоду</w:t>
      </w:r>
      <w:r>
        <w:rPr>
          <w:spacing w:val="-15"/>
          <w:vertAlign w:val="baseline"/>
        </w:rPr>
        <w:t> </w:t>
      </w:r>
      <w:r>
        <w:rPr>
          <w:vertAlign w:val="baseline"/>
        </w:rPr>
        <w:t>износио 136 хиљада (8,6%). Повећан је и број предузетника и запослених код њих, као и лица која самостално обављају делатност (68 хиљада или 22,2%), док је број регистрованих индивидуалних пољопривредника смањен за 21 хиљаду (-23%).</w:t>
      </w:r>
    </w:p>
    <w:p>
      <w:pPr>
        <w:pStyle w:val="BodyText"/>
        <w:ind w:left="0"/>
        <w:jc w:val="left"/>
        <w:rPr>
          <w:sz w:val="20"/>
        </w:rPr>
      </w:pPr>
    </w:p>
    <w:p>
      <w:pPr>
        <w:pStyle w:val="BodyText"/>
        <w:spacing w:before="186"/>
        <w:ind w:left="0"/>
        <w:jc w:val="left"/>
        <w:rPr>
          <w:sz w:val="20"/>
        </w:rPr>
      </w:pPr>
      <w:r>
        <w:rPr>
          <w:sz w:val="20"/>
        </w:rPr>
        <mc:AlternateContent>
          <mc:Choice Requires="wps">
            <w:drawing>
              <wp:anchor distT="0" distB="0" distL="0" distR="0" allowOverlap="1" layoutInCell="1" locked="0" behindDoc="1" simplePos="0" relativeHeight="487593472">
                <wp:simplePos x="0" y="0"/>
                <wp:positionH relativeFrom="page">
                  <wp:posOffset>914704</wp:posOffset>
                </wp:positionH>
                <wp:positionV relativeFrom="paragraph">
                  <wp:posOffset>279950</wp:posOffset>
                </wp:positionV>
                <wp:extent cx="1829435"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043348pt;width:144.020pt;height:.71997pt;mso-position-horizontal-relative:page;mso-position-vertical-relative:paragraph;z-index:-15723008;mso-wrap-distance-left:0;mso-wrap-distance-right:0" id="docshape14" filled="true" fillcolor="#000000" stroked="false">
                <v:fill type="solid"/>
                <w10:wrap type="topAndBottom"/>
              </v:rect>
            </w:pict>
          </mc:Fallback>
        </mc:AlternateContent>
      </w:r>
    </w:p>
    <w:p>
      <w:pPr>
        <w:spacing w:line="247" w:lineRule="auto" w:before="115"/>
        <w:ind w:left="360" w:right="0" w:firstLine="0"/>
        <w:jc w:val="left"/>
        <w:rPr>
          <w:sz w:val="18"/>
        </w:rPr>
      </w:pPr>
      <w:r>
        <w:rPr>
          <w:sz w:val="18"/>
          <w:vertAlign w:val="superscript"/>
        </w:rPr>
        <w:t>18</w:t>
      </w:r>
      <w:r>
        <w:rPr>
          <w:spacing w:val="40"/>
          <w:sz w:val="18"/>
          <w:vertAlign w:val="baseline"/>
        </w:rPr>
        <w:t> </w:t>
      </w:r>
      <w:r>
        <w:rPr>
          <w:sz w:val="18"/>
          <w:vertAlign w:val="baseline"/>
        </w:rPr>
        <w:t>Истраживање</w:t>
      </w:r>
      <w:r>
        <w:rPr>
          <w:spacing w:val="33"/>
          <w:sz w:val="18"/>
          <w:vertAlign w:val="baseline"/>
        </w:rPr>
        <w:t> </w:t>
      </w:r>
      <w:r>
        <w:rPr>
          <w:sz w:val="18"/>
          <w:vertAlign w:val="baseline"/>
        </w:rPr>
        <w:t>о</w:t>
      </w:r>
      <w:r>
        <w:rPr>
          <w:spacing w:val="35"/>
          <w:sz w:val="18"/>
          <w:vertAlign w:val="baseline"/>
        </w:rPr>
        <w:t> </w:t>
      </w:r>
      <w:r>
        <w:rPr>
          <w:sz w:val="18"/>
          <w:vertAlign w:val="baseline"/>
        </w:rPr>
        <w:t>регистрованој</w:t>
      </w:r>
      <w:r>
        <w:rPr>
          <w:spacing w:val="34"/>
          <w:sz w:val="18"/>
          <w:vertAlign w:val="baseline"/>
        </w:rPr>
        <w:t> </w:t>
      </w:r>
      <w:r>
        <w:rPr>
          <w:sz w:val="18"/>
          <w:vertAlign w:val="baseline"/>
        </w:rPr>
        <w:t>запослености</w:t>
      </w:r>
      <w:r>
        <w:rPr>
          <w:spacing w:val="34"/>
          <w:sz w:val="18"/>
          <w:vertAlign w:val="baseline"/>
        </w:rPr>
        <w:t> </w:t>
      </w:r>
      <w:r>
        <w:rPr>
          <w:sz w:val="18"/>
          <w:vertAlign w:val="baseline"/>
        </w:rPr>
        <w:t>заснива</w:t>
      </w:r>
      <w:r>
        <w:rPr>
          <w:spacing w:val="33"/>
          <w:sz w:val="18"/>
          <w:vertAlign w:val="baseline"/>
        </w:rPr>
        <w:t> </w:t>
      </w:r>
      <w:r>
        <w:rPr>
          <w:sz w:val="18"/>
          <w:vertAlign w:val="baseline"/>
        </w:rPr>
        <w:t>се</w:t>
      </w:r>
      <w:r>
        <w:rPr>
          <w:spacing w:val="33"/>
          <w:sz w:val="18"/>
          <w:vertAlign w:val="baseline"/>
        </w:rPr>
        <w:t> </w:t>
      </w:r>
      <w:r>
        <w:rPr>
          <w:sz w:val="18"/>
          <w:vertAlign w:val="baseline"/>
        </w:rPr>
        <w:t>на</w:t>
      </w:r>
      <w:r>
        <w:rPr>
          <w:spacing w:val="36"/>
          <w:sz w:val="18"/>
          <w:vertAlign w:val="baseline"/>
        </w:rPr>
        <w:t> </w:t>
      </w:r>
      <w:r>
        <w:rPr>
          <w:sz w:val="18"/>
          <w:vertAlign w:val="baseline"/>
        </w:rPr>
        <w:t>комбиновању</w:t>
      </w:r>
      <w:r>
        <w:rPr>
          <w:spacing w:val="33"/>
          <w:sz w:val="18"/>
          <w:vertAlign w:val="baseline"/>
        </w:rPr>
        <w:t> </w:t>
      </w:r>
      <w:r>
        <w:rPr>
          <w:sz w:val="18"/>
          <w:vertAlign w:val="baseline"/>
        </w:rPr>
        <w:t>података</w:t>
      </w:r>
      <w:r>
        <w:rPr>
          <w:spacing w:val="33"/>
          <w:sz w:val="18"/>
          <w:vertAlign w:val="baseline"/>
        </w:rPr>
        <w:t> </w:t>
      </w:r>
      <w:r>
        <w:rPr>
          <w:sz w:val="18"/>
          <w:vertAlign w:val="baseline"/>
        </w:rPr>
        <w:t>Централног</w:t>
      </w:r>
      <w:r>
        <w:rPr>
          <w:spacing w:val="34"/>
          <w:sz w:val="18"/>
          <w:vertAlign w:val="baseline"/>
        </w:rPr>
        <w:t> </w:t>
      </w:r>
      <w:r>
        <w:rPr>
          <w:sz w:val="18"/>
          <w:vertAlign w:val="baseline"/>
        </w:rPr>
        <w:t>регистра</w:t>
      </w:r>
      <w:r>
        <w:rPr>
          <w:spacing w:val="33"/>
          <w:sz w:val="18"/>
          <w:vertAlign w:val="baseline"/>
        </w:rPr>
        <w:t> </w:t>
      </w:r>
      <w:r>
        <w:rPr>
          <w:sz w:val="18"/>
          <w:vertAlign w:val="baseline"/>
        </w:rPr>
        <w:t>обавезног социјалног осигурања и Статистичког пословног регистра</w:t>
      </w:r>
    </w:p>
    <w:p>
      <w:pPr>
        <w:spacing w:after="0" w:line="247" w:lineRule="auto"/>
        <w:jc w:val="left"/>
        <w:rPr>
          <w:sz w:val="18"/>
        </w:rPr>
        <w:sectPr>
          <w:pgSz w:w="12240" w:h="15840"/>
          <w:pgMar w:header="0" w:footer="702" w:top="1360" w:bottom="900" w:left="1080" w:right="720"/>
        </w:sectPr>
      </w:pPr>
    </w:p>
    <w:p>
      <w:pPr>
        <w:pStyle w:val="BodyText"/>
        <w:tabs>
          <w:tab w:pos="1190" w:val="left" w:leader="none"/>
        </w:tabs>
        <w:spacing w:before="74"/>
        <w:ind w:left="0" w:right="358"/>
        <w:jc w:val="center"/>
      </w:pPr>
      <w:r>
        <w:rPr/>
        <w:t>Табела</w:t>
      </w:r>
      <w:r>
        <w:rPr>
          <w:spacing w:val="-4"/>
        </w:rPr>
        <w:t> </w:t>
      </w:r>
      <w:r>
        <w:rPr>
          <w:spacing w:val="-5"/>
        </w:rPr>
        <w:t>4.</w:t>
      </w:r>
      <w:r>
        <w:rPr/>
        <w:tab/>
        <w:t>Регистрована</w:t>
      </w:r>
      <w:r>
        <w:rPr>
          <w:spacing w:val="-7"/>
        </w:rPr>
        <w:t> </w:t>
      </w:r>
      <w:r>
        <w:rPr/>
        <w:t>запосленост,</w:t>
      </w:r>
      <w:r>
        <w:rPr>
          <w:spacing w:val="-4"/>
        </w:rPr>
        <w:t> </w:t>
      </w:r>
      <w:r>
        <w:rPr>
          <w:spacing w:val="-2"/>
        </w:rPr>
        <w:t>2015–2019</w:t>
      </w:r>
    </w:p>
    <w:p>
      <w:pPr>
        <w:pStyle w:val="BodyText"/>
        <w:spacing w:before="3"/>
        <w:ind w:left="0"/>
        <w:jc w:val="left"/>
        <w:rPr>
          <w:sz w:val="13"/>
        </w:r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7"/>
        <w:gridCol w:w="1020"/>
        <w:gridCol w:w="991"/>
        <w:gridCol w:w="993"/>
        <w:gridCol w:w="994"/>
        <w:gridCol w:w="965"/>
        <w:gridCol w:w="875"/>
        <w:gridCol w:w="685"/>
      </w:tblGrid>
      <w:tr>
        <w:trPr>
          <w:trHeight w:val="386" w:hRule="atLeast"/>
        </w:trPr>
        <w:tc>
          <w:tcPr>
            <w:tcW w:w="3277" w:type="dxa"/>
            <w:vMerge w:val="restart"/>
            <w:tcBorders>
              <w:top w:val="single" w:sz="4" w:space="0" w:color="000000"/>
              <w:bottom w:val="single" w:sz="4" w:space="0" w:color="000000"/>
              <w:right w:val="single" w:sz="4" w:space="0" w:color="000000"/>
            </w:tcBorders>
          </w:tcPr>
          <w:p>
            <w:pPr>
              <w:pStyle w:val="TableParagraph"/>
              <w:rPr>
                <w:sz w:val="22"/>
              </w:rPr>
            </w:pPr>
          </w:p>
        </w:tc>
        <w:tc>
          <w:tcPr>
            <w:tcW w:w="1020" w:type="dxa"/>
            <w:tcBorders>
              <w:top w:val="single" w:sz="4" w:space="0" w:color="000000"/>
              <w:left w:val="single" w:sz="4" w:space="0" w:color="000000"/>
            </w:tcBorders>
          </w:tcPr>
          <w:p>
            <w:pPr>
              <w:pStyle w:val="TableParagraph"/>
              <w:spacing w:line="167" w:lineRule="exact" w:before="199"/>
              <w:ind w:right="132"/>
              <w:jc w:val="right"/>
              <w:rPr>
                <w:b/>
                <w:sz w:val="20"/>
              </w:rPr>
            </w:pPr>
            <w:r>
              <w:rPr>
                <w:b/>
                <w:spacing w:val="-4"/>
                <w:sz w:val="20"/>
              </w:rPr>
              <w:t>2015</w:t>
            </w:r>
          </w:p>
        </w:tc>
        <w:tc>
          <w:tcPr>
            <w:tcW w:w="991" w:type="dxa"/>
            <w:tcBorders>
              <w:top w:val="single" w:sz="4" w:space="0" w:color="000000"/>
            </w:tcBorders>
          </w:tcPr>
          <w:p>
            <w:pPr>
              <w:pStyle w:val="TableParagraph"/>
              <w:spacing w:line="167" w:lineRule="exact" w:before="199"/>
              <w:ind w:right="132"/>
              <w:jc w:val="right"/>
              <w:rPr>
                <w:b/>
                <w:sz w:val="20"/>
              </w:rPr>
            </w:pPr>
            <w:r>
              <w:rPr>
                <w:b/>
                <w:spacing w:val="-4"/>
                <w:sz w:val="20"/>
              </w:rPr>
              <w:t>2016</w:t>
            </w:r>
          </w:p>
        </w:tc>
        <w:tc>
          <w:tcPr>
            <w:tcW w:w="993" w:type="dxa"/>
            <w:tcBorders>
              <w:top w:val="single" w:sz="4" w:space="0" w:color="000000"/>
            </w:tcBorders>
          </w:tcPr>
          <w:p>
            <w:pPr>
              <w:pStyle w:val="TableParagraph"/>
              <w:spacing w:line="167" w:lineRule="exact" w:before="199"/>
              <w:ind w:right="134"/>
              <w:jc w:val="right"/>
              <w:rPr>
                <w:b/>
                <w:sz w:val="20"/>
              </w:rPr>
            </w:pPr>
            <w:r>
              <w:rPr>
                <w:b/>
                <w:spacing w:val="-4"/>
                <w:sz w:val="20"/>
              </w:rPr>
              <w:t>2017</w:t>
            </w:r>
          </w:p>
        </w:tc>
        <w:tc>
          <w:tcPr>
            <w:tcW w:w="994" w:type="dxa"/>
            <w:tcBorders>
              <w:top w:val="single" w:sz="4" w:space="0" w:color="000000"/>
            </w:tcBorders>
          </w:tcPr>
          <w:p>
            <w:pPr>
              <w:pStyle w:val="TableParagraph"/>
              <w:spacing w:line="167" w:lineRule="exact" w:before="199"/>
              <w:ind w:right="134"/>
              <w:jc w:val="right"/>
              <w:rPr>
                <w:b/>
                <w:sz w:val="20"/>
              </w:rPr>
            </w:pPr>
            <w:r>
              <w:rPr>
                <w:b/>
                <w:spacing w:val="-4"/>
                <w:sz w:val="20"/>
              </w:rPr>
              <w:t>2018</w:t>
            </w:r>
          </w:p>
        </w:tc>
        <w:tc>
          <w:tcPr>
            <w:tcW w:w="965" w:type="dxa"/>
            <w:tcBorders>
              <w:top w:val="single" w:sz="4" w:space="0" w:color="000000"/>
              <w:right w:val="single" w:sz="4" w:space="0" w:color="000000"/>
            </w:tcBorders>
          </w:tcPr>
          <w:p>
            <w:pPr>
              <w:pStyle w:val="TableParagraph"/>
              <w:spacing w:line="167" w:lineRule="exact" w:before="199"/>
              <w:ind w:right="100"/>
              <w:jc w:val="right"/>
              <w:rPr>
                <w:b/>
                <w:sz w:val="20"/>
              </w:rPr>
            </w:pPr>
            <w:r>
              <w:rPr>
                <w:b/>
                <w:spacing w:val="-4"/>
                <w:sz w:val="20"/>
              </w:rPr>
              <w:t>2019</w:t>
            </w:r>
          </w:p>
        </w:tc>
        <w:tc>
          <w:tcPr>
            <w:tcW w:w="1560" w:type="dxa"/>
            <w:gridSpan w:val="2"/>
            <w:tcBorders>
              <w:top w:val="single" w:sz="4" w:space="0" w:color="000000"/>
              <w:left w:val="single" w:sz="4" w:space="0" w:color="000000"/>
            </w:tcBorders>
          </w:tcPr>
          <w:p>
            <w:pPr>
              <w:pStyle w:val="TableParagraph"/>
              <w:spacing w:line="182" w:lineRule="exact"/>
              <w:ind w:right="9"/>
              <w:jc w:val="center"/>
              <w:rPr>
                <w:b/>
                <w:sz w:val="16"/>
              </w:rPr>
            </w:pPr>
            <w:r>
              <w:rPr>
                <w:b/>
                <w:spacing w:val="-2"/>
                <w:sz w:val="16"/>
              </w:rPr>
              <w:t>Промена</w:t>
            </w:r>
          </w:p>
          <w:p>
            <w:pPr>
              <w:pStyle w:val="TableParagraph"/>
              <w:tabs>
                <w:tab w:pos="430" w:val="left" w:leader="none"/>
                <w:tab w:pos="1550" w:val="left" w:leader="none"/>
              </w:tabs>
              <w:spacing w:line="183" w:lineRule="exact"/>
              <w:ind w:left="-2" w:right="2"/>
              <w:jc w:val="center"/>
              <w:rPr>
                <w:b/>
                <w:sz w:val="16"/>
              </w:rPr>
            </w:pPr>
            <w:r>
              <w:rPr>
                <w:b/>
                <w:sz w:val="16"/>
                <w:u w:val="single"/>
              </w:rPr>
              <w:tab/>
            </w:r>
            <w:r>
              <w:rPr>
                <w:b/>
                <w:spacing w:val="-2"/>
                <w:sz w:val="16"/>
                <w:u w:val="single"/>
              </w:rPr>
              <w:t>2019/2015</w:t>
            </w:r>
            <w:r>
              <w:rPr>
                <w:b/>
                <w:sz w:val="16"/>
                <w:u w:val="single"/>
              </w:rPr>
              <w:tab/>
            </w:r>
          </w:p>
        </w:tc>
      </w:tr>
      <w:tr>
        <w:trPr>
          <w:trHeight w:val="236" w:hRule="atLeast"/>
        </w:trPr>
        <w:tc>
          <w:tcPr>
            <w:tcW w:w="3277" w:type="dxa"/>
            <w:vMerge/>
            <w:tcBorders>
              <w:top w:val="nil"/>
              <w:bottom w:val="single" w:sz="4" w:space="0" w:color="000000"/>
              <w:right w:val="single" w:sz="4" w:space="0" w:color="000000"/>
            </w:tcBorders>
          </w:tcPr>
          <w:p>
            <w:pPr>
              <w:rPr>
                <w:sz w:val="2"/>
                <w:szCs w:val="2"/>
              </w:rPr>
            </w:pPr>
          </w:p>
        </w:tc>
        <w:tc>
          <w:tcPr>
            <w:tcW w:w="1020" w:type="dxa"/>
            <w:tcBorders>
              <w:left w:val="single" w:sz="4" w:space="0" w:color="000000"/>
              <w:bottom w:val="single" w:sz="4" w:space="0" w:color="000000"/>
            </w:tcBorders>
          </w:tcPr>
          <w:p>
            <w:pPr>
              <w:pStyle w:val="TableParagraph"/>
              <w:rPr>
                <w:sz w:val="16"/>
              </w:rPr>
            </w:pPr>
          </w:p>
        </w:tc>
        <w:tc>
          <w:tcPr>
            <w:tcW w:w="991" w:type="dxa"/>
            <w:tcBorders>
              <w:bottom w:val="single" w:sz="4" w:space="0" w:color="000000"/>
            </w:tcBorders>
          </w:tcPr>
          <w:p>
            <w:pPr>
              <w:pStyle w:val="TableParagraph"/>
              <w:rPr>
                <w:sz w:val="16"/>
              </w:rPr>
            </w:pPr>
          </w:p>
        </w:tc>
        <w:tc>
          <w:tcPr>
            <w:tcW w:w="993" w:type="dxa"/>
            <w:tcBorders>
              <w:bottom w:val="single" w:sz="4" w:space="0" w:color="000000"/>
            </w:tcBorders>
          </w:tcPr>
          <w:p>
            <w:pPr>
              <w:pStyle w:val="TableParagraph"/>
              <w:rPr>
                <w:sz w:val="16"/>
              </w:rPr>
            </w:pPr>
          </w:p>
        </w:tc>
        <w:tc>
          <w:tcPr>
            <w:tcW w:w="994" w:type="dxa"/>
            <w:tcBorders>
              <w:bottom w:val="single" w:sz="4" w:space="0" w:color="000000"/>
            </w:tcBorders>
          </w:tcPr>
          <w:p>
            <w:pPr>
              <w:pStyle w:val="TableParagraph"/>
              <w:rPr>
                <w:sz w:val="16"/>
              </w:rPr>
            </w:pPr>
          </w:p>
        </w:tc>
        <w:tc>
          <w:tcPr>
            <w:tcW w:w="965" w:type="dxa"/>
            <w:tcBorders>
              <w:bottom w:val="single" w:sz="4" w:space="0" w:color="000000"/>
              <w:right w:val="single" w:sz="4" w:space="0" w:color="000000"/>
            </w:tcBorders>
          </w:tcPr>
          <w:p>
            <w:pPr>
              <w:pStyle w:val="TableParagraph"/>
              <w:rPr>
                <w:sz w:val="16"/>
              </w:rPr>
            </w:pPr>
          </w:p>
        </w:tc>
        <w:tc>
          <w:tcPr>
            <w:tcW w:w="875" w:type="dxa"/>
            <w:tcBorders>
              <w:left w:val="single" w:sz="4" w:space="0" w:color="000000"/>
              <w:bottom w:val="single" w:sz="4" w:space="0" w:color="000000"/>
            </w:tcBorders>
          </w:tcPr>
          <w:p>
            <w:pPr>
              <w:pStyle w:val="TableParagraph"/>
              <w:spacing w:before="15"/>
              <w:ind w:left="252"/>
              <w:rPr>
                <w:b/>
                <w:sz w:val="16"/>
              </w:rPr>
            </w:pPr>
            <w:r>
              <w:rPr>
                <w:b/>
                <w:spacing w:val="-4"/>
                <w:sz w:val="16"/>
              </w:rPr>
              <w:t>Број</w:t>
            </w:r>
          </w:p>
        </w:tc>
        <w:tc>
          <w:tcPr>
            <w:tcW w:w="685" w:type="dxa"/>
            <w:tcBorders>
              <w:bottom w:val="single" w:sz="4" w:space="0" w:color="000000"/>
            </w:tcBorders>
          </w:tcPr>
          <w:p>
            <w:pPr>
              <w:pStyle w:val="TableParagraph"/>
              <w:spacing w:before="15"/>
              <w:ind w:left="1" w:right="30"/>
              <w:jc w:val="center"/>
              <w:rPr>
                <w:b/>
                <w:sz w:val="16"/>
              </w:rPr>
            </w:pPr>
            <w:r>
              <w:rPr>
                <w:b/>
                <w:spacing w:val="-10"/>
                <w:sz w:val="16"/>
              </w:rPr>
              <w:t>%</w:t>
            </w:r>
          </w:p>
        </w:tc>
      </w:tr>
      <w:tr>
        <w:trPr>
          <w:trHeight w:val="477" w:hRule="atLeast"/>
        </w:trPr>
        <w:tc>
          <w:tcPr>
            <w:tcW w:w="3277" w:type="dxa"/>
            <w:tcBorders>
              <w:top w:val="single" w:sz="4" w:space="0" w:color="000000"/>
              <w:right w:val="single" w:sz="4" w:space="0" w:color="000000"/>
            </w:tcBorders>
          </w:tcPr>
          <w:p>
            <w:pPr>
              <w:pStyle w:val="TableParagraph"/>
              <w:spacing w:line="230" w:lineRule="exact"/>
              <w:ind w:left="122" w:right="654"/>
              <w:rPr>
                <w:b/>
                <w:sz w:val="20"/>
              </w:rPr>
            </w:pPr>
            <w:r>
              <w:rPr>
                <w:b/>
                <w:sz w:val="20"/>
              </w:rPr>
              <w:t>Регистрована</w:t>
            </w:r>
            <w:r>
              <w:rPr>
                <w:b/>
                <w:spacing w:val="-13"/>
                <w:sz w:val="20"/>
              </w:rPr>
              <w:t> </w:t>
            </w:r>
            <w:r>
              <w:rPr>
                <w:b/>
                <w:sz w:val="20"/>
              </w:rPr>
              <w:t>запосленост</w:t>
            </w:r>
            <w:r>
              <w:rPr>
                <w:b/>
                <w:spacing w:val="-12"/>
                <w:sz w:val="20"/>
              </w:rPr>
              <w:t> </w:t>
            </w:r>
            <w:r>
              <w:rPr>
                <w:b/>
                <w:sz w:val="20"/>
              </w:rPr>
              <w:t>- </w:t>
            </w:r>
            <w:r>
              <w:rPr>
                <w:b/>
                <w:spacing w:val="-2"/>
                <w:sz w:val="20"/>
              </w:rPr>
              <w:t>укупно</w:t>
            </w:r>
          </w:p>
        </w:tc>
        <w:tc>
          <w:tcPr>
            <w:tcW w:w="1020" w:type="dxa"/>
            <w:tcBorders>
              <w:top w:val="single" w:sz="4" w:space="0" w:color="000000"/>
              <w:left w:val="single" w:sz="4" w:space="0" w:color="000000"/>
            </w:tcBorders>
          </w:tcPr>
          <w:p>
            <w:pPr>
              <w:pStyle w:val="TableParagraph"/>
              <w:spacing w:before="124"/>
              <w:ind w:right="134"/>
              <w:jc w:val="right"/>
              <w:rPr>
                <w:b/>
                <w:sz w:val="18"/>
              </w:rPr>
            </w:pPr>
            <w:r>
              <w:rPr>
                <w:b/>
                <w:spacing w:val="-2"/>
                <w:sz w:val="18"/>
              </w:rPr>
              <w:t>1.989.617</w:t>
            </w:r>
          </w:p>
        </w:tc>
        <w:tc>
          <w:tcPr>
            <w:tcW w:w="991" w:type="dxa"/>
            <w:tcBorders>
              <w:top w:val="single" w:sz="4" w:space="0" w:color="000000"/>
            </w:tcBorders>
          </w:tcPr>
          <w:p>
            <w:pPr>
              <w:pStyle w:val="TableParagraph"/>
              <w:spacing w:before="124"/>
              <w:ind w:right="134"/>
              <w:jc w:val="right"/>
              <w:rPr>
                <w:b/>
                <w:sz w:val="18"/>
              </w:rPr>
            </w:pPr>
            <w:r>
              <w:rPr>
                <w:b/>
                <w:spacing w:val="-2"/>
                <w:sz w:val="18"/>
              </w:rPr>
              <w:t>2.009.785</w:t>
            </w:r>
          </w:p>
        </w:tc>
        <w:tc>
          <w:tcPr>
            <w:tcW w:w="993" w:type="dxa"/>
            <w:tcBorders>
              <w:top w:val="single" w:sz="4" w:space="0" w:color="000000"/>
            </w:tcBorders>
          </w:tcPr>
          <w:p>
            <w:pPr>
              <w:pStyle w:val="TableParagraph"/>
              <w:spacing w:before="124"/>
              <w:ind w:right="136"/>
              <w:jc w:val="right"/>
              <w:rPr>
                <w:b/>
                <w:sz w:val="18"/>
              </w:rPr>
            </w:pPr>
            <w:r>
              <w:rPr>
                <w:b/>
                <w:spacing w:val="-2"/>
                <w:sz w:val="18"/>
              </w:rPr>
              <w:t>2.062.588</w:t>
            </w:r>
          </w:p>
        </w:tc>
        <w:tc>
          <w:tcPr>
            <w:tcW w:w="994" w:type="dxa"/>
            <w:tcBorders>
              <w:top w:val="single" w:sz="4" w:space="0" w:color="000000"/>
            </w:tcBorders>
          </w:tcPr>
          <w:p>
            <w:pPr>
              <w:pStyle w:val="TableParagraph"/>
              <w:spacing w:before="124"/>
              <w:ind w:right="136"/>
              <w:jc w:val="right"/>
              <w:rPr>
                <w:b/>
                <w:sz w:val="18"/>
              </w:rPr>
            </w:pPr>
            <w:r>
              <w:rPr>
                <w:b/>
                <w:spacing w:val="-2"/>
                <w:sz w:val="18"/>
              </w:rPr>
              <w:t>2.131.079</w:t>
            </w:r>
          </w:p>
        </w:tc>
        <w:tc>
          <w:tcPr>
            <w:tcW w:w="965" w:type="dxa"/>
            <w:tcBorders>
              <w:top w:val="single" w:sz="4" w:space="0" w:color="000000"/>
              <w:right w:val="single" w:sz="4" w:space="0" w:color="000000"/>
            </w:tcBorders>
          </w:tcPr>
          <w:p>
            <w:pPr>
              <w:pStyle w:val="TableParagraph"/>
              <w:spacing w:before="124"/>
              <w:ind w:right="102"/>
              <w:jc w:val="right"/>
              <w:rPr>
                <w:b/>
                <w:sz w:val="18"/>
              </w:rPr>
            </w:pPr>
            <w:r>
              <w:rPr>
                <w:b/>
                <w:spacing w:val="-2"/>
                <w:sz w:val="18"/>
              </w:rPr>
              <w:t>2.173.135</w:t>
            </w:r>
          </w:p>
        </w:tc>
        <w:tc>
          <w:tcPr>
            <w:tcW w:w="875" w:type="dxa"/>
            <w:tcBorders>
              <w:top w:val="single" w:sz="4" w:space="0" w:color="000000"/>
              <w:left w:val="single" w:sz="4" w:space="0" w:color="000000"/>
            </w:tcBorders>
          </w:tcPr>
          <w:p>
            <w:pPr>
              <w:pStyle w:val="TableParagraph"/>
              <w:spacing w:before="124"/>
              <w:ind w:right="156"/>
              <w:jc w:val="right"/>
              <w:rPr>
                <w:b/>
                <w:sz w:val="18"/>
              </w:rPr>
            </w:pPr>
            <w:r>
              <w:rPr>
                <w:b/>
                <w:spacing w:val="-2"/>
                <w:sz w:val="18"/>
              </w:rPr>
              <w:t>183.518</w:t>
            </w:r>
          </w:p>
        </w:tc>
        <w:tc>
          <w:tcPr>
            <w:tcW w:w="685" w:type="dxa"/>
            <w:tcBorders>
              <w:top w:val="single" w:sz="4" w:space="0" w:color="000000"/>
            </w:tcBorders>
          </w:tcPr>
          <w:p>
            <w:pPr>
              <w:pStyle w:val="TableParagraph"/>
              <w:spacing w:before="124"/>
              <w:ind w:right="30"/>
              <w:jc w:val="center"/>
              <w:rPr>
                <w:b/>
                <w:sz w:val="18"/>
              </w:rPr>
            </w:pPr>
            <w:r>
              <w:rPr>
                <w:b/>
                <w:spacing w:val="-5"/>
                <w:sz w:val="18"/>
              </w:rPr>
              <w:t>9,2</w:t>
            </w:r>
          </w:p>
        </w:tc>
      </w:tr>
      <w:tr>
        <w:trPr>
          <w:trHeight w:val="279" w:hRule="atLeast"/>
        </w:trPr>
        <w:tc>
          <w:tcPr>
            <w:tcW w:w="3277" w:type="dxa"/>
            <w:tcBorders>
              <w:right w:val="single" w:sz="4" w:space="0" w:color="000000"/>
            </w:tcBorders>
          </w:tcPr>
          <w:p>
            <w:pPr>
              <w:pStyle w:val="TableParagraph"/>
              <w:spacing w:before="10"/>
              <w:ind w:left="775"/>
              <w:rPr>
                <w:i/>
                <w:sz w:val="20"/>
              </w:rPr>
            </w:pPr>
            <w:r>
              <w:rPr>
                <w:i/>
                <w:spacing w:val="-2"/>
                <w:sz w:val="20"/>
              </w:rPr>
              <w:t>Мушкарци</w:t>
            </w:r>
          </w:p>
        </w:tc>
        <w:tc>
          <w:tcPr>
            <w:tcW w:w="1020" w:type="dxa"/>
            <w:tcBorders>
              <w:left w:val="single" w:sz="4" w:space="0" w:color="000000"/>
            </w:tcBorders>
          </w:tcPr>
          <w:p>
            <w:pPr>
              <w:pStyle w:val="TableParagraph"/>
              <w:spacing w:before="28"/>
              <w:ind w:right="132"/>
              <w:jc w:val="right"/>
              <w:rPr>
                <w:b/>
                <w:sz w:val="18"/>
              </w:rPr>
            </w:pPr>
            <w:r>
              <w:rPr>
                <w:b/>
                <w:spacing w:val="-5"/>
                <w:sz w:val="18"/>
              </w:rPr>
              <w:t>...</w:t>
            </w:r>
          </w:p>
        </w:tc>
        <w:tc>
          <w:tcPr>
            <w:tcW w:w="991" w:type="dxa"/>
          </w:tcPr>
          <w:p>
            <w:pPr>
              <w:pStyle w:val="TableParagraph"/>
              <w:spacing w:before="24"/>
              <w:ind w:right="134"/>
              <w:jc w:val="right"/>
              <w:rPr>
                <w:i/>
                <w:sz w:val="18"/>
              </w:rPr>
            </w:pPr>
            <w:r>
              <w:rPr>
                <w:i/>
                <w:spacing w:val="-2"/>
                <w:sz w:val="18"/>
              </w:rPr>
              <w:t>1.103.842</w:t>
            </w:r>
          </w:p>
        </w:tc>
        <w:tc>
          <w:tcPr>
            <w:tcW w:w="993" w:type="dxa"/>
          </w:tcPr>
          <w:p>
            <w:pPr>
              <w:pStyle w:val="TableParagraph"/>
              <w:spacing w:before="24"/>
              <w:ind w:right="136"/>
              <w:jc w:val="right"/>
              <w:rPr>
                <w:i/>
                <w:sz w:val="18"/>
              </w:rPr>
            </w:pPr>
            <w:r>
              <w:rPr>
                <w:i/>
                <w:spacing w:val="-2"/>
                <w:sz w:val="18"/>
              </w:rPr>
              <w:t>1.125.171</w:t>
            </w:r>
          </w:p>
        </w:tc>
        <w:tc>
          <w:tcPr>
            <w:tcW w:w="994" w:type="dxa"/>
          </w:tcPr>
          <w:p>
            <w:pPr>
              <w:pStyle w:val="TableParagraph"/>
              <w:spacing w:before="24"/>
              <w:ind w:right="136"/>
              <w:jc w:val="right"/>
              <w:rPr>
                <w:i/>
                <w:sz w:val="18"/>
              </w:rPr>
            </w:pPr>
            <w:r>
              <w:rPr>
                <w:i/>
                <w:spacing w:val="-2"/>
                <w:sz w:val="18"/>
              </w:rPr>
              <w:t>1.155.488</w:t>
            </w:r>
          </w:p>
        </w:tc>
        <w:tc>
          <w:tcPr>
            <w:tcW w:w="965" w:type="dxa"/>
            <w:tcBorders>
              <w:right w:val="single" w:sz="4" w:space="0" w:color="000000"/>
            </w:tcBorders>
          </w:tcPr>
          <w:p>
            <w:pPr>
              <w:pStyle w:val="TableParagraph"/>
              <w:spacing w:before="24"/>
              <w:ind w:right="102"/>
              <w:jc w:val="right"/>
              <w:rPr>
                <w:i/>
                <w:sz w:val="18"/>
              </w:rPr>
            </w:pPr>
            <w:r>
              <w:rPr>
                <w:i/>
                <w:spacing w:val="-2"/>
                <w:sz w:val="18"/>
              </w:rPr>
              <w:t>1.174.150</w:t>
            </w:r>
          </w:p>
        </w:tc>
        <w:tc>
          <w:tcPr>
            <w:tcW w:w="875" w:type="dxa"/>
            <w:tcBorders>
              <w:left w:val="single" w:sz="4" w:space="0" w:color="000000"/>
            </w:tcBorders>
          </w:tcPr>
          <w:p>
            <w:pPr>
              <w:pStyle w:val="TableParagraph"/>
              <w:rPr>
                <w:sz w:val="20"/>
              </w:rPr>
            </w:pPr>
          </w:p>
        </w:tc>
        <w:tc>
          <w:tcPr>
            <w:tcW w:w="685" w:type="dxa"/>
          </w:tcPr>
          <w:p>
            <w:pPr>
              <w:pStyle w:val="TableParagraph"/>
              <w:rPr>
                <w:sz w:val="20"/>
              </w:rPr>
            </w:pPr>
          </w:p>
        </w:tc>
      </w:tr>
      <w:tr>
        <w:trPr>
          <w:trHeight w:val="301" w:hRule="atLeast"/>
        </w:trPr>
        <w:tc>
          <w:tcPr>
            <w:tcW w:w="3277" w:type="dxa"/>
            <w:tcBorders>
              <w:bottom w:val="single" w:sz="4" w:space="0" w:color="000000"/>
              <w:right w:val="single" w:sz="4" w:space="0" w:color="000000"/>
            </w:tcBorders>
          </w:tcPr>
          <w:p>
            <w:pPr>
              <w:pStyle w:val="TableParagraph"/>
              <w:spacing w:before="30"/>
              <w:ind w:left="724"/>
              <w:rPr>
                <w:i/>
                <w:sz w:val="20"/>
              </w:rPr>
            </w:pPr>
            <w:r>
              <w:rPr>
                <w:i/>
                <w:spacing w:val="-4"/>
                <w:sz w:val="20"/>
              </w:rPr>
              <w:t>Жене</w:t>
            </w:r>
          </w:p>
        </w:tc>
        <w:tc>
          <w:tcPr>
            <w:tcW w:w="1020" w:type="dxa"/>
            <w:tcBorders>
              <w:left w:val="single" w:sz="4" w:space="0" w:color="000000"/>
              <w:bottom w:val="single" w:sz="4" w:space="0" w:color="000000"/>
            </w:tcBorders>
          </w:tcPr>
          <w:p>
            <w:pPr>
              <w:pStyle w:val="TableParagraph"/>
              <w:spacing w:before="49"/>
              <w:ind w:right="132"/>
              <w:jc w:val="right"/>
              <w:rPr>
                <w:b/>
                <w:sz w:val="18"/>
              </w:rPr>
            </w:pPr>
            <w:r>
              <w:rPr>
                <w:b/>
                <w:spacing w:val="-5"/>
                <w:sz w:val="18"/>
              </w:rPr>
              <w:t>...</w:t>
            </w:r>
          </w:p>
        </w:tc>
        <w:tc>
          <w:tcPr>
            <w:tcW w:w="991" w:type="dxa"/>
            <w:tcBorders>
              <w:bottom w:val="single" w:sz="4" w:space="0" w:color="000000"/>
            </w:tcBorders>
          </w:tcPr>
          <w:p>
            <w:pPr>
              <w:pStyle w:val="TableParagraph"/>
              <w:spacing w:before="44"/>
              <w:ind w:right="134"/>
              <w:jc w:val="right"/>
              <w:rPr>
                <w:i/>
                <w:sz w:val="18"/>
              </w:rPr>
            </w:pPr>
            <w:r>
              <w:rPr>
                <w:i/>
                <w:spacing w:val="-2"/>
                <w:sz w:val="18"/>
              </w:rPr>
              <w:t>905.942</w:t>
            </w:r>
          </w:p>
        </w:tc>
        <w:tc>
          <w:tcPr>
            <w:tcW w:w="993" w:type="dxa"/>
            <w:tcBorders>
              <w:bottom w:val="single" w:sz="4" w:space="0" w:color="000000"/>
            </w:tcBorders>
          </w:tcPr>
          <w:p>
            <w:pPr>
              <w:pStyle w:val="TableParagraph"/>
              <w:spacing w:before="44"/>
              <w:ind w:right="137"/>
              <w:jc w:val="right"/>
              <w:rPr>
                <w:i/>
                <w:sz w:val="18"/>
              </w:rPr>
            </w:pPr>
            <w:r>
              <w:rPr>
                <w:i/>
                <w:spacing w:val="-2"/>
                <w:sz w:val="18"/>
              </w:rPr>
              <w:t>937.416</w:t>
            </w:r>
          </w:p>
        </w:tc>
        <w:tc>
          <w:tcPr>
            <w:tcW w:w="994" w:type="dxa"/>
            <w:tcBorders>
              <w:bottom w:val="single" w:sz="4" w:space="0" w:color="000000"/>
            </w:tcBorders>
          </w:tcPr>
          <w:p>
            <w:pPr>
              <w:pStyle w:val="TableParagraph"/>
              <w:spacing w:before="44"/>
              <w:ind w:right="136"/>
              <w:jc w:val="right"/>
              <w:rPr>
                <w:i/>
                <w:sz w:val="18"/>
              </w:rPr>
            </w:pPr>
            <w:r>
              <w:rPr>
                <w:i/>
                <w:spacing w:val="-2"/>
                <w:sz w:val="18"/>
              </w:rPr>
              <w:t>975.592</w:t>
            </w:r>
          </w:p>
        </w:tc>
        <w:tc>
          <w:tcPr>
            <w:tcW w:w="965" w:type="dxa"/>
            <w:tcBorders>
              <w:bottom w:val="single" w:sz="4" w:space="0" w:color="000000"/>
              <w:right w:val="single" w:sz="4" w:space="0" w:color="000000"/>
            </w:tcBorders>
          </w:tcPr>
          <w:p>
            <w:pPr>
              <w:pStyle w:val="TableParagraph"/>
              <w:spacing w:before="44"/>
              <w:ind w:right="102"/>
              <w:jc w:val="right"/>
              <w:rPr>
                <w:i/>
                <w:sz w:val="18"/>
              </w:rPr>
            </w:pPr>
            <w:r>
              <w:rPr>
                <w:i/>
                <w:spacing w:val="-2"/>
                <w:sz w:val="18"/>
              </w:rPr>
              <w:t>998.984</w:t>
            </w:r>
          </w:p>
        </w:tc>
        <w:tc>
          <w:tcPr>
            <w:tcW w:w="875" w:type="dxa"/>
            <w:tcBorders>
              <w:left w:val="single" w:sz="4" w:space="0" w:color="000000"/>
              <w:bottom w:val="single" w:sz="4" w:space="0" w:color="000000"/>
            </w:tcBorders>
          </w:tcPr>
          <w:p>
            <w:pPr>
              <w:pStyle w:val="TableParagraph"/>
              <w:rPr>
                <w:sz w:val="22"/>
              </w:rPr>
            </w:pPr>
          </w:p>
        </w:tc>
        <w:tc>
          <w:tcPr>
            <w:tcW w:w="685" w:type="dxa"/>
            <w:tcBorders>
              <w:bottom w:val="single" w:sz="4" w:space="0" w:color="000000"/>
            </w:tcBorders>
          </w:tcPr>
          <w:p>
            <w:pPr>
              <w:pStyle w:val="TableParagraph"/>
              <w:rPr>
                <w:sz w:val="22"/>
              </w:rPr>
            </w:pPr>
          </w:p>
        </w:tc>
      </w:tr>
      <w:tr>
        <w:trPr>
          <w:trHeight w:val="342" w:hRule="atLeast"/>
        </w:trPr>
        <w:tc>
          <w:tcPr>
            <w:tcW w:w="3277" w:type="dxa"/>
            <w:tcBorders>
              <w:top w:val="single" w:sz="4" w:space="0" w:color="000000"/>
              <w:right w:val="single" w:sz="4" w:space="0" w:color="000000"/>
            </w:tcBorders>
          </w:tcPr>
          <w:p>
            <w:pPr>
              <w:pStyle w:val="TableParagraph"/>
              <w:spacing w:before="70"/>
              <w:ind w:left="122"/>
              <w:rPr>
                <w:sz w:val="20"/>
              </w:rPr>
            </w:pPr>
            <w:r>
              <w:rPr>
                <w:sz w:val="20"/>
              </w:rPr>
              <w:t>Запослени</w:t>
            </w:r>
            <w:r>
              <w:rPr>
                <w:spacing w:val="-7"/>
                <w:sz w:val="20"/>
              </w:rPr>
              <w:t> </w:t>
            </w:r>
            <w:r>
              <w:rPr>
                <w:sz w:val="20"/>
              </w:rPr>
              <w:t>у</w:t>
            </w:r>
            <w:r>
              <w:rPr>
                <w:spacing w:val="-9"/>
                <w:sz w:val="20"/>
              </w:rPr>
              <w:t> </w:t>
            </w:r>
            <w:r>
              <w:rPr>
                <w:sz w:val="20"/>
              </w:rPr>
              <w:t>правним</w:t>
            </w:r>
            <w:r>
              <w:rPr>
                <w:spacing w:val="-7"/>
                <w:sz w:val="20"/>
              </w:rPr>
              <w:t> </w:t>
            </w:r>
            <w:r>
              <w:rPr>
                <w:spacing w:val="-2"/>
                <w:sz w:val="20"/>
              </w:rPr>
              <w:t>лицима</w:t>
            </w:r>
          </w:p>
        </w:tc>
        <w:tc>
          <w:tcPr>
            <w:tcW w:w="1020" w:type="dxa"/>
            <w:tcBorders>
              <w:top w:val="single" w:sz="4" w:space="0" w:color="000000"/>
              <w:left w:val="single" w:sz="4" w:space="0" w:color="000000"/>
            </w:tcBorders>
          </w:tcPr>
          <w:p>
            <w:pPr>
              <w:pStyle w:val="TableParagraph"/>
              <w:spacing w:before="83"/>
              <w:ind w:right="134"/>
              <w:jc w:val="right"/>
              <w:rPr>
                <w:sz w:val="18"/>
              </w:rPr>
            </w:pPr>
            <w:r>
              <w:rPr>
                <w:spacing w:val="-2"/>
                <w:sz w:val="18"/>
              </w:rPr>
              <w:t>1.587.437</w:t>
            </w:r>
          </w:p>
        </w:tc>
        <w:tc>
          <w:tcPr>
            <w:tcW w:w="991" w:type="dxa"/>
            <w:tcBorders>
              <w:top w:val="single" w:sz="4" w:space="0" w:color="000000"/>
            </w:tcBorders>
          </w:tcPr>
          <w:p>
            <w:pPr>
              <w:pStyle w:val="TableParagraph"/>
              <w:spacing w:before="83"/>
              <w:ind w:right="134"/>
              <w:jc w:val="right"/>
              <w:rPr>
                <w:sz w:val="18"/>
              </w:rPr>
            </w:pPr>
            <w:r>
              <w:rPr>
                <w:spacing w:val="-2"/>
                <w:sz w:val="18"/>
              </w:rPr>
              <w:t>1.597.366</w:t>
            </w:r>
          </w:p>
        </w:tc>
        <w:tc>
          <w:tcPr>
            <w:tcW w:w="993" w:type="dxa"/>
            <w:tcBorders>
              <w:top w:val="single" w:sz="4" w:space="0" w:color="000000"/>
            </w:tcBorders>
          </w:tcPr>
          <w:p>
            <w:pPr>
              <w:pStyle w:val="TableParagraph"/>
              <w:spacing w:before="83"/>
              <w:ind w:right="136"/>
              <w:jc w:val="right"/>
              <w:rPr>
                <w:sz w:val="18"/>
              </w:rPr>
            </w:pPr>
            <w:r>
              <w:rPr>
                <w:spacing w:val="-2"/>
                <w:sz w:val="18"/>
              </w:rPr>
              <w:t>1.634.901</w:t>
            </w:r>
          </w:p>
        </w:tc>
        <w:tc>
          <w:tcPr>
            <w:tcW w:w="994" w:type="dxa"/>
            <w:tcBorders>
              <w:top w:val="single" w:sz="4" w:space="0" w:color="000000"/>
            </w:tcBorders>
          </w:tcPr>
          <w:p>
            <w:pPr>
              <w:pStyle w:val="TableParagraph"/>
              <w:spacing w:before="83"/>
              <w:ind w:right="136"/>
              <w:jc w:val="right"/>
              <w:rPr>
                <w:sz w:val="18"/>
              </w:rPr>
            </w:pPr>
            <w:r>
              <w:rPr>
                <w:spacing w:val="-2"/>
                <w:sz w:val="18"/>
              </w:rPr>
              <w:t>1.688.241</w:t>
            </w:r>
          </w:p>
        </w:tc>
        <w:tc>
          <w:tcPr>
            <w:tcW w:w="965" w:type="dxa"/>
            <w:tcBorders>
              <w:top w:val="single" w:sz="4" w:space="0" w:color="000000"/>
              <w:right w:val="single" w:sz="4" w:space="0" w:color="000000"/>
            </w:tcBorders>
          </w:tcPr>
          <w:p>
            <w:pPr>
              <w:pStyle w:val="TableParagraph"/>
              <w:spacing w:before="83"/>
              <w:ind w:right="102"/>
              <w:jc w:val="right"/>
              <w:rPr>
                <w:sz w:val="18"/>
              </w:rPr>
            </w:pPr>
            <w:r>
              <w:rPr>
                <w:spacing w:val="-2"/>
                <w:sz w:val="18"/>
              </w:rPr>
              <w:t>1.723.828</w:t>
            </w:r>
          </w:p>
        </w:tc>
        <w:tc>
          <w:tcPr>
            <w:tcW w:w="875" w:type="dxa"/>
            <w:tcBorders>
              <w:top w:val="single" w:sz="4" w:space="0" w:color="000000"/>
              <w:left w:val="single" w:sz="4" w:space="0" w:color="000000"/>
            </w:tcBorders>
          </w:tcPr>
          <w:p>
            <w:pPr>
              <w:pStyle w:val="TableParagraph"/>
              <w:spacing w:before="83"/>
              <w:ind w:right="156"/>
              <w:jc w:val="right"/>
              <w:rPr>
                <w:sz w:val="18"/>
              </w:rPr>
            </w:pPr>
            <w:r>
              <w:rPr>
                <w:spacing w:val="-2"/>
                <w:sz w:val="18"/>
              </w:rPr>
              <w:t>136.391</w:t>
            </w:r>
          </w:p>
        </w:tc>
        <w:tc>
          <w:tcPr>
            <w:tcW w:w="685" w:type="dxa"/>
            <w:tcBorders>
              <w:top w:val="single" w:sz="4" w:space="0" w:color="000000"/>
            </w:tcBorders>
          </w:tcPr>
          <w:p>
            <w:pPr>
              <w:pStyle w:val="TableParagraph"/>
              <w:spacing w:before="83"/>
              <w:ind w:right="30"/>
              <w:jc w:val="center"/>
              <w:rPr>
                <w:sz w:val="18"/>
              </w:rPr>
            </w:pPr>
            <w:r>
              <w:rPr>
                <w:spacing w:val="-5"/>
                <w:sz w:val="18"/>
              </w:rPr>
              <w:t>8,6</w:t>
            </w:r>
          </w:p>
        </w:tc>
      </w:tr>
      <w:tr>
        <w:trPr>
          <w:trHeight w:val="727" w:hRule="atLeast"/>
        </w:trPr>
        <w:tc>
          <w:tcPr>
            <w:tcW w:w="3277" w:type="dxa"/>
            <w:tcBorders>
              <w:right w:val="single" w:sz="4" w:space="0" w:color="000000"/>
            </w:tcBorders>
          </w:tcPr>
          <w:p>
            <w:pPr>
              <w:pStyle w:val="TableParagraph"/>
              <w:spacing w:before="34"/>
              <w:ind w:left="122"/>
              <w:rPr>
                <w:sz w:val="20"/>
              </w:rPr>
            </w:pPr>
            <w:r>
              <w:rPr>
                <w:sz w:val="20"/>
              </w:rPr>
              <w:t>Предузетници</w:t>
            </w:r>
            <w:r>
              <w:rPr>
                <w:spacing w:val="-7"/>
                <w:sz w:val="20"/>
              </w:rPr>
              <w:t> </w:t>
            </w:r>
            <w:r>
              <w:rPr>
                <w:sz w:val="20"/>
              </w:rPr>
              <w:t>и</w:t>
            </w:r>
            <w:r>
              <w:rPr>
                <w:spacing w:val="-7"/>
                <w:sz w:val="20"/>
              </w:rPr>
              <w:t> </w:t>
            </w:r>
            <w:r>
              <w:rPr>
                <w:sz w:val="20"/>
              </w:rPr>
              <w:t>запослени</w:t>
            </w:r>
            <w:r>
              <w:rPr>
                <w:spacing w:val="-7"/>
                <w:sz w:val="20"/>
              </w:rPr>
              <w:t> </w:t>
            </w:r>
            <w:r>
              <w:rPr>
                <w:sz w:val="20"/>
              </w:rPr>
              <w:t>код</w:t>
            </w:r>
            <w:r>
              <w:rPr>
                <w:spacing w:val="-6"/>
                <w:sz w:val="20"/>
              </w:rPr>
              <w:t> </w:t>
            </w:r>
            <w:r>
              <w:rPr>
                <w:spacing w:val="-5"/>
                <w:sz w:val="20"/>
              </w:rPr>
              <w:t>њих</w:t>
            </w:r>
          </w:p>
          <w:p>
            <w:pPr>
              <w:pStyle w:val="TableParagraph"/>
              <w:spacing w:line="228" w:lineRule="exact"/>
              <w:ind w:left="122"/>
              <w:rPr>
                <w:sz w:val="20"/>
              </w:rPr>
            </w:pPr>
            <w:r>
              <w:rPr>
                <w:sz w:val="20"/>
              </w:rPr>
              <w:t>и</w:t>
            </w:r>
            <w:r>
              <w:rPr>
                <w:spacing w:val="-12"/>
                <w:sz w:val="20"/>
              </w:rPr>
              <w:t> </w:t>
            </w:r>
            <w:r>
              <w:rPr>
                <w:sz w:val="20"/>
              </w:rPr>
              <w:t>лица</w:t>
            </w:r>
            <w:r>
              <w:rPr>
                <w:spacing w:val="-9"/>
                <w:sz w:val="20"/>
              </w:rPr>
              <w:t> </w:t>
            </w:r>
            <w:r>
              <w:rPr>
                <w:sz w:val="20"/>
              </w:rPr>
              <w:t>која</w:t>
            </w:r>
            <w:r>
              <w:rPr>
                <w:spacing w:val="-11"/>
                <w:sz w:val="20"/>
              </w:rPr>
              <w:t> </w:t>
            </w:r>
            <w:r>
              <w:rPr>
                <w:sz w:val="20"/>
              </w:rPr>
              <w:t>самостално</w:t>
            </w:r>
            <w:r>
              <w:rPr>
                <w:spacing w:val="-10"/>
                <w:sz w:val="20"/>
              </w:rPr>
              <w:t> </w:t>
            </w:r>
            <w:r>
              <w:rPr>
                <w:sz w:val="20"/>
              </w:rPr>
              <w:t>обављају </w:t>
            </w:r>
            <w:r>
              <w:rPr>
                <w:spacing w:val="-2"/>
                <w:sz w:val="20"/>
              </w:rPr>
              <w:t>делатност</w:t>
            </w:r>
          </w:p>
        </w:tc>
        <w:tc>
          <w:tcPr>
            <w:tcW w:w="1020" w:type="dxa"/>
            <w:tcBorders>
              <w:left w:val="single" w:sz="4" w:space="0" w:color="000000"/>
            </w:tcBorders>
          </w:tcPr>
          <w:p>
            <w:pPr>
              <w:pStyle w:val="TableParagraph"/>
              <w:spacing w:before="68"/>
              <w:rPr>
                <w:sz w:val="18"/>
              </w:rPr>
            </w:pPr>
          </w:p>
          <w:p>
            <w:pPr>
              <w:pStyle w:val="TableParagraph"/>
              <w:spacing w:before="1"/>
              <w:ind w:right="134"/>
              <w:jc w:val="right"/>
              <w:rPr>
                <w:sz w:val="18"/>
              </w:rPr>
            </w:pPr>
            <w:r>
              <w:rPr>
                <w:spacing w:val="-2"/>
                <w:sz w:val="18"/>
              </w:rPr>
              <w:t>308.863</w:t>
            </w:r>
          </w:p>
        </w:tc>
        <w:tc>
          <w:tcPr>
            <w:tcW w:w="991" w:type="dxa"/>
          </w:tcPr>
          <w:p>
            <w:pPr>
              <w:pStyle w:val="TableParagraph"/>
              <w:spacing w:before="68"/>
              <w:rPr>
                <w:sz w:val="18"/>
              </w:rPr>
            </w:pPr>
          </w:p>
          <w:p>
            <w:pPr>
              <w:pStyle w:val="TableParagraph"/>
              <w:spacing w:before="1"/>
              <w:ind w:right="134"/>
              <w:jc w:val="right"/>
              <w:rPr>
                <w:sz w:val="18"/>
              </w:rPr>
            </w:pPr>
            <w:r>
              <w:rPr>
                <w:spacing w:val="-2"/>
                <w:sz w:val="18"/>
              </w:rPr>
              <w:t>323.313</w:t>
            </w:r>
          </w:p>
        </w:tc>
        <w:tc>
          <w:tcPr>
            <w:tcW w:w="993" w:type="dxa"/>
          </w:tcPr>
          <w:p>
            <w:pPr>
              <w:pStyle w:val="TableParagraph"/>
              <w:spacing w:before="68"/>
              <w:rPr>
                <w:sz w:val="18"/>
              </w:rPr>
            </w:pPr>
          </w:p>
          <w:p>
            <w:pPr>
              <w:pStyle w:val="TableParagraph"/>
              <w:spacing w:before="1"/>
              <w:ind w:right="137"/>
              <w:jc w:val="right"/>
              <w:rPr>
                <w:sz w:val="18"/>
              </w:rPr>
            </w:pPr>
            <w:r>
              <w:rPr>
                <w:spacing w:val="-2"/>
                <w:sz w:val="18"/>
              </w:rPr>
              <w:t>342.457</w:t>
            </w:r>
          </w:p>
        </w:tc>
        <w:tc>
          <w:tcPr>
            <w:tcW w:w="994" w:type="dxa"/>
          </w:tcPr>
          <w:p>
            <w:pPr>
              <w:pStyle w:val="TableParagraph"/>
              <w:spacing w:before="68"/>
              <w:rPr>
                <w:sz w:val="18"/>
              </w:rPr>
            </w:pPr>
          </w:p>
          <w:p>
            <w:pPr>
              <w:pStyle w:val="TableParagraph"/>
              <w:spacing w:before="1"/>
              <w:ind w:right="136"/>
              <w:jc w:val="right"/>
              <w:rPr>
                <w:sz w:val="18"/>
              </w:rPr>
            </w:pPr>
            <w:r>
              <w:rPr>
                <w:spacing w:val="-2"/>
                <w:sz w:val="18"/>
              </w:rPr>
              <w:t>364.305</w:t>
            </w:r>
          </w:p>
        </w:tc>
        <w:tc>
          <w:tcPr>
            <w:tcW w:w="965" w:type="dxa"/>
            <w:tcBorders>
              <w:right w:val="single" w:sz="4" w:space="0" w:color="000000"/>
            </w:tcBorders>
          </w:tcPr>
          <w:p>
            <w:pPr>
              <w:pStyle w:val="TableParagraph"/>
              <w:spacing w:before="68"/>
              <w:rPr>
                <w:sz w:val="18"/>
              </w:rPr>
            </w:pPr>
          </w:p>
          <w:p>
            <w:pPr>
              <w:pStyle w:val="TableParagraph"/>
              <w:spacing w:before="1"/>
              <w:ind w:right="102"/>
              <w:jc w:val="right"/>
              <w:rPr>
                <w:sz w:val="18"/>
              </w:rPr>
            </w:pPr>
            <w:r>
              <w:rPr>
                <w:spacing w:val="-2"/>
                <w:sz w:val="18"/>
              </w:rPr>
              <w:t>377.439</w:t>
            </w:r>
          </w:p>
        </w:tc>
        <w:tc>
          <w:tcPr>
            <w:tcW w:w="875" w:type="dxa"/>
            <w:tcBorders>
              <w:left w:val="single" w:sz="4" w:space="0" w:color="000000"/>
            </w:tcBorders>
          </w:tcPr>
          <w:p>
            <w:pPr>
              <w:pStyle w:val="TableParagraph"/>
              <w:spacing w:before="68"/>
              <w:rPr>
                <w:sz w:val="18"/>
              </w:rPr>
            </w:pPr>
          </w:p>
          <w:p>
            <w:pPr>
              <w:pStyle w:val="TableParagraph"/>
              <w:spacing w:before="1"/>
              <w:ind w:right="201"/>
              <w:jc w:val="right"/>
              <w:rPr>
                <w:sz w:val="18"/>
              </w:rPr>
            </w:pPr>
            <w:r>
              <w:rPr>
                <w:spacing w:val="-2"/>
                <w:sz w:val="18"/>
              </w:rPr>
              <w:t>68.576</w:t>
            </w:r>
          </w:p>
        </w:tc>
        <w:tc>
          <w:tcPr>
            <w:tcW w:w="685" w:type="dxa"/>
          </w:tcPr>
          <w:p>
            <w:pPr>
              <w:pStyle w:val="TableParagraph"/>
              <w:spacing w:before="68"/>
              <w:rPr>
                <w:sz w:val="18"/>
              </w:rPr>
            </w:pPr>
          </w:p>
          <w:p>
            <w:pPr>
              <w:pStyle w:val="TableParagraph"/>
              <w:spacing w:before="1"/>
              <w:ind w:left="2" w:right="30"/>
              <w:jc w:val="center"/>
              <w:rPr>
                <w:sz w:val="18"/>
              </w:rPr>
            </w:pPr>
            <w:r>
              <w:rPr>
                <w:spacing w:val="-4"/>
                <w:sz w:val="18"/>
              </w:rPr>
              <w:t>22,2</w:t>
            </w:r>
          </w:p>
        </w:tc>
      </w:tr>
      <w:tr>
        <w:trPr>
          <w:trHeight w:val="463" w:hRule="atLeast"/>
        </w:trPr>
        <w:tc>
          <w:tcPr>
            <w:tcW w:w="3277" w:type="dxa"/>
            <w:tcBorders>
              <w:bottom w:val="single" w:sz="4" w:space="0" w:color="000000"/>
              <w:right w:val="single" w:sz="4" w:space="0" w:color="000000"/>
            </w:tcBorders>
          </w:tcPr>
          <w:p>
            <w:pPr>
              <w:pStyle w:val="TableParagraph"/>
              <w:spacing w:line="226" w:lineRule="exact"/>
              <w:ind w:left="122"/>
              <w:rPr>
                <w:sz w:val="20"/>
              </w:rPr>
            </w:pPr>
            <w:r>
              <w:rPr>
                <w:spacing w:val="-2"/>
                <w:sz w:val="20"/>
              </w:rPr>
              <w:t>Регистровани</w:t>
            </w:r>
            <w:r>
              <w:rPr>
                <w:spacing w:val="8"/>
                <w:sz w:val="20"/>
              </w:rPr>
              <w:t> </w:t>
            </w:r>
            <w:r>
              <w:rPr>
                <w:spacing w:val="-2"/>
                <w:sz w:val="20"/>
              </w:rPr>
              <w:t>индувидуални</w:t>
            </w:r>
          </w:p>
          <w:p>
            <w:pPr>
              <w:pStyle w:val="TableParagraph"/>
              <w:spacing w:line="217" w:lineRule="exact"/>
              <w:ind w:left="122"/>
              <w:rPr>
                <w:sz w:val="20"/>
              </w:rPr>
            </w:pPr>
            <w:r>
              <w:rPr>
                <w:spacing w:val="-2"/>
                <w:sz w:val="20"/>
              </w:rPr>
              <w:t>пољопривредници</w:t>
            </w:r>
          </w:p>
        </w:tc>
        <w:tc>
          <w:tcPr>
            <w:tcW w:w="1020" w:type="dxa"/>
            <w:tcBorders>
              <w:left w:val="single" w:sz="4" w:space="0" w:color="000000"/>
              <w:bottom w:val="single" w:sz="4" w:space="0" w:color="000000"/>
            </w:tcBorders>
          </w:tcPr>
          <w:p>
            <w:pPr>
              <w:pStyle w:val="TableParagraph"/>
              <w:spacing w:before="124"/>
              <w:ind w:right="134"/>
              <w:jc w:val="right"/>
              <w:rPr>
                <w:sz w:val="18"/>
              </w:rPr>
            </w:pPr>
            <w:r>
              <w:rPr>
                <w:spacing w:val="-2"/>
                <w:sz w:val="18"/>
              </w:rPr>
              <w:t>93.320</w:t>
            </w:r>
          </w:p>
        </w:tc>
        <w:tc>
          <w:tcPr>
            <w:tcW w:w="991" w:type="dxa"/>
            <w:tcBorders>
              <w:bottom w:val="single" w:sz="4" w:space="0" w:color="000000"/>
            </w:tcBorders>
          </w:tcPr>
          <w:p>
            <w:pPr>
              <w:pStyle w:val="TableParagraph"/>
              <w:spacing w:before="124"/>
              <w:ind w:right="134"/>
              <w:jc w:val="right"/>
              <w:rPr>
                <w:sz w:val="18"/>
              </w:rPr>
            </w:pPr>
            <w:r>
              <w:rPr>
                <w:spacing w:val="-2"/>
                <w:sz w:val="18"/>
              </w:rPr>
              <w:t>89.106</w:t>
            </w:r>
          </w:p>
        </w:tc>
        <w:tc>
          <w:tcPr>
            <w:tcW w:w="993" w:type="dxa"/>
            <w:tcBorders>
              <w:bottom w:val="single" w:sz="4" w:space="0" w:color="000000"/>
            </w:tcBorders>
          </w:tcPr>
          <w:p>
            <w:pPr>
              <w:pStyle w:val="TableParagraph"/>
              <w:spacing w:before="124"/>
              <w:ind w:right="135"/>
              <w:jc w:val="right"/>
              <w:rPr>
                <w:sz w:val="18"/>
              </w:rPr>
            </w:pPr>
            <w:r>
              <w:rPr>
                <w:spacing w:val="-2"/>
                <w:sz w:val="18"/>
              </w:rPr>
              <w:t>85.230</w:t>
            </w:r>
          </w:p>
        </w:tc>
        <w:tc>
          <w:tcPr>
            <w:tcW w:w="994" w:type="dxa"/>
            <w:tcBorders>
              <w:bottom w:val="single" w:sz="4" w:space="0" w:color="000000"/>
            </w:tcBorders>
          </w:tcPr>
          <w:p>
            <w:pPr>
              <w:pStyle w:val="TableParagraph"/>
              <w:spacing w:before="124"/>
              <w:ind w:right="136"/>
              <w:jc w:val="right"/>
              <w:rPr>
                <w:sz w:val="18"/>
              </w:rPr>
            </w:pPr>
            <w:r>
              <w:rPr>
                <w:spacing w:val="-2"/>
                <w:sz w:val="18"/>
              </w:rPr>
              <w:t>78.533</w:t>
            </w:r>
          </w:p>
        </w:tc>
        <w:tc>
          <w:tcPr>
            <w:tcW w:w="965" w:type="dxa"/>
            <w:tcBorders>
              <w:bottom w:val="single" w:sz="4" w:space="0" w:color="000000"/>
              <w:right w:val="single" w:sz="4" w:space="0" w:color="000000"/>
            </w:tcBorders>
          </w:tcPr>
          <w:p>
            <w:pPr>
              <w:pStyle w:val="TableParagraph"/>
              <w:spacing w:before="124"/>
              <w:ind w:right="102"/>
              <w:jc w:val="right"/>
              <w:rPr>
                <w:sz w:val="18"/>
              </w:rPr>
            </w:pPr>
            <w:r>
              <w:rPr>
                <w:spacing w:val="-2"/>
                <w:sz w:val="18"/>
              </w:rPr>
              <w:t>71.868</w:t>
            </w:r>
          </w:p>
        </w:tc>
        <w:tc>
          <w:tcPr>
            <w:tcW w:w="875" w:type="dxa"/>
            <w:tcBorders>
              <w:left w:val="single" w:sz="4" w:space="0" w:color="000000"/>
              <w:bottom w:val="single" w:sz="4" w:space="0" w:color="000000"/>
            </w:tcBorders>
          </w:tcPr>
          <w:p>
            <w:pPr>
              <w:pStyle w:val="TableParagraph"/>
              <w:spacing w:before="124"/>
              <w:ind w:right="173"/>
              <w:jc w:val="right"/>
              <w:rPr>
                <w:sz w:val="18"/>
              </w:rPr>
            </w:pPr>
            <w:r>
              <w:rPr>
                <w:sz w:val="18"/>
              </w:rPr>
              <w:t>-</w:t>
            </w:r>
            <w:r>
              <w:rPr>
                <w:spacing w:val="-2"/>
                <w:sz w:val="18"/>
              </w:rPr>
              <w:t>21.452</w:t>
            </w:r>
          </w:p>
        </w:tc>
        <w:tc>
          <w:tcPr>
            <w:tcW w:w="685" w:type="dxa"/>
            <w:tcBorders>
              <w:bottom w:val="single" w:sz="4" w:space="0" w:color="000000"/>
            </w:tcBorders>
          </w:tcPr>
          <w:p>
            <w:pPr>
              <w:pStyle w:val="TableParagraph"/>
              <w:spacing w:before="124"/>
              <w:ind w:right="30"/>
              <w:jc w:val="center"/>
              <w:rPr>
                <w:sz w:val="18"/>
              </w:rPr>
            </w:pPr>
            <w:r>
              <w:rPr>
                <w:sz w:val="18"/>
              </w:rPr>
              <w:t>-</w:t>
            </w:r>
            <w:r>
              <w:rPr>
                <w:spacing w:val="-4"/>
                <w:sz w:val="18"/>
              </w:rPr>
              <w:t>23,0</w:t>
            </w:r>
          </w:p>
        </w:tc>
      </w:tr>
      <w:tr>
        <w:trPr>
          <w:trHeight w:val="299" w:hRule="atLeast"/>
        </w:trPr>
        <w:tc>
          <w:tcPr>
            <w:tcW w:w="3277" w:type="dxa"/>
            <w:tcBorders>
              <w:top w:val="single" w:sz="4" w:space="0" w:color="000000"/>
              <w:bottom w:val="single" w:sz="4" w:space="0" w:color="000000"/>
              <w:right w:val="single" w:sz="4" w:space="0" w:color="000000"/>
            </w:tcBorders>
          </w:tcPr>
          <w:p>
            <w:pPr>
              <w:pStyle w:val="TableParagraph"/>
              <w:spacing w:before="34"/>
              <w:ind w:left="122"/>
              <w:rPr>
                <w:b/>
                <w:sz w:val="20"/>
              </w:rPr>
            </w:pPr>
            <w:r>
              <w:rPr>
                <w:b/>
                <w:sz w:val="20"/>
              </w:rPr>
              <w:t>Јавни</w:t>
            </w:r>
            <w:r>
              <w:rPr>
                <w:b/>
                <w:spacing w:val="-5"/>
                <w:sz w:val="20"/>
              </w:rPr>
              <w:t> </w:t>
            </w:r>
            <w:r>
              <w:rPr>
                <w:b/>
                <w:spacing w:val="-2"/>
                <w:sz w:val="20"/>
              </w:rPr>
              <w:t>сектор</w:t>
            </w:r>
          </w:p>
        </w:tc>
        <w:tc>
          <w:tcPr>
            <w:tcW w:w="1020" w:type="dxa"/>
            <w:tcBorders>
              <w:top w:val="single" w:sz="4" w:space="0" w:color="000000"/>
              <w:left w:val="single" w:sz="4" w:space="0" w:color="000000"/>
              <w:bottom w:val="single" w:sz="4" w:space="0" w:color="000000"/>
            </w:tcBorders>
          </w:tcPr>
          <w:p>
            <w:pPr>
              <w:pStyle w:val="TableParagraph"/>
              <w:spacing w:line="212" w:lineRule="exact" w:before="67"/>
              <w:ind w:right="135"/>
              <w:jc w:val="right"/>
              <w:rPr>
                <w:b/>
                <w:sz w:val="20"/>
              </w:rPr>
            </w:pPr>
            <w:r>
              <w:rPr>
                <w:b/>
                <w:spacing w:val="-2"/>
                <w:sz w:val="20"/>
              </w:rPr>
              <w:t>635.220</w:t>
            </w:r>
          </w:p>
        </w:tc>
        <w:tc>
          <w:tcPr>
            <w:tcW w:w="991" w:type="dxa"/>
            <w:tcBorders>
              <w:top w:val="single" w:sz="4" w:space="0" w:color="000000"/>
              <w:bottom w:val="single" w:sz="4" w:space="0" w:color="000000"/>
            </w:tcBorders>
          </w:tcPr>
          <w:p>
            <w:pPr>
              <w:pStyle w:val="TableParagraph"/>
              <w:spacing w:line="212" w:lineRule="exact" w:before="67"/>
              <w:ind w:right="134"/>
              <w:jc w:val="right"/>
              <w:rPr>
                <w:b/>
                <w:sz w:val="20"/>
              </w:rPr>
            </w:pPr>
            <w:r>
              <w:rPr>
                <w:b/>
                <w:spacing w:val="-2"/>
                <w:sz w:val="20"/>
              </w:rPr>
              <w:t>621.818</w:t>
            </w:r>
          </w:p>
        </w:tc>
        <w:tc>
          <w:tcPr>
            <w:tcW w:w="993" w:type="dxa"/>
            <w:tcBorders>
              <w:top w:val="single" w:sz="4" w:space="0" w:color="000000"/>
              <w:bottom w:val="single" w:sz="4" w:space="0" w:color="000000"/>
            </w:tcBorders>
          </w:tcPr>
          <w:p>
            <w:pPr>
              <w:pStyle w:val="TableParagraph"/>
              <w:spacing w:line="212" w:lineRule="exact" w:before="67"/>
              <w:ind w:right="136"/>
              <w:jc w:val="right"/>
              <w:rPr>
                <w:b/>
                <w:sz w:val="20"/>
              </w:rPr>
            </w:pPr>
            <w:r>
              <w:rPr>
                <w:b/>
                <w:spacing w:val="-2"/>
                <w:sz w:val="20"/>
              </w:rPr>
              <w:t>612.884</w:t>
            </w:r>
          </w:p>
        </w:tc>
        <w:tc>
          <w:tcPr>
            <w:tcW w:w="994" w:type="dxa"/>
            <w:tcBorders>
              <w:top w:val="single" w:sz="4" w:space="0" w:color="000000"/>
              <w:bottom w:val="single" w:sz="4" w:space="0" w:color="000000"/>
            </w:tcBorders>
          </w:tcPr>
          <w:p>
            <w:pPr>
              <w:pStyle w:val="TableParagraph"/>
              <w:spacing w:line="212" w:lineRule="exact" w:before="67"/>
              <w:ind w:right="136"/>
              <w:jc w:val="right"/>
              <w:rPr>
                <w:b/>
                <w:sz w:val="20"/>
              </w:rPr>
            </w:pPr>
            <w:r>
              <w:rPr>
                <w:b/>
                <w:spacing w:val="-2"/>
                <w:sz w:val="20"/>
              </w:rPr>
              <w:t>606.118</w:t>
            </w:r>
          </w:p>
        </w:tc>
        <w:tc>
          <w:tcPr>
            <w:tcW w:w="965" w:type="dxa"/>
            <w:tcBorders>
              <w:top w:val="single" w:sz="4" w:space="0" w:color="000000"/>
              <w:bottom w:val="single" w:sz="4" w:space="0" w:color="000000"/>
              <w:right w:val="single" w:sz="4" w:space="0" w:color="000000"/>
            </w:tcBorders>
          </w:tcPr>
          <w:p>
            <w:pPr>
              <w:pStyle w:val="TableParagraph"/>
              <w:spacing w:line="212" w:lineRule="exact" w:before="67"/>
              <w:ind w:right="103"/>
              <w:jc w:val="right"/>
              <w:rPr>
                <w:b/>
                <w:sz w:val="20"/>
              </w:rPr>
            </w:pPr>
            <w:r>
              <w:rPr>
                <w:b/>
                <w:spacing w:val="-2"/>
                <w:sz w:val="20"/>
              </w:rPr>
              <w:t>599.994</w:t>
            </w:r>
          </w:p>
        </w:tc>
        <w:tc>
          <w:tcPr>
            <w:tcW w:w="875" w:type="dxa"/>
            <w:tcBorders>
              <w:top w:val="single" w:sz="4" w:space="0" w:color="000000"/>
              <w:left w:val="single" w:sz="4" w:space="0" w:color="000000"/>
              <w:bottom w:val="single" w:sz="4" w:space="0" w:color="000000"/>
            </w:tcBorders>
          </w:tcPr>
          <w:p>
            <w:pPr>
              <w:pStyle w:val="TableParagraph"/>
              <w:spacing w:line="212" w:lineRule="exact" w:before="67"/>
              <w:ind w:right="142"/>
              <w:jc w:val="right"/>
              <w:rPr>
                <w:b/>
                <w:sz w:val="20"/>
              </w:rPr>
            </w:pPr>
            <w:r>
              <w:rPr>
                <w:b/>
                <w:spacing w:val="-2"/>
                <w:sz w:val="20"/>
              </w:rPr>
              <w:t>-35.226</w:t>
            </w:r>
          </w:p>
        </w:tc>
        <w:tc>
          <w:tcPr>
            <w:tcW w:w="685" w:type="dxa"/>
            <w:tcBorders>
              <w:top w:val="single" w:sz="4" w:space="0" w:color="000000"/>
              <w:bottom w:val="single" w:sz="4" w:space="0" w:color="000000"/>
            </w:tcBorders>
          </w:tcPr>
          <w:p>
            <w:pPr>
              <w:pStyle w:val="TableParagraph"/>
              <w:spacing w:line="212" w:lineRule="exact" w:before="67"/>
              <w:ind w:right="30"/>
              <w:jc w:val="center"/>
              <w:rPr>
                <w:b/>
                <w:sz w:val="20"/>
              </w:rPr>
            </w:pPr>
            <w:r>
              <w:rPr>
                <w:b/>
                <w:spacing w:val="-2"/>
                <w:sz w:val="20"/>
              </w:rPr>
              <w:t>-</w:t>
            </w:r>
            <w:r>
              <w:rPr>
                <w:b/>
                <w:spacing w:val="-5"/>
                <w:sz w:val="20"/>
              </w:rPr>
              <w:t>5,5</w:t>
            </w:r>
          </w:p>
        </w:tc>
      </w:tr>
    </w:tbl>
    <w:p>
      <w:pPr>
        <w:spacing w:before="0"/>
        <w:ind w:left="360" w:right="0" w:firstLine="0"/>
        <w:jc w:val="both"/>
        <w:rPr>
          <w:sz w:val="20"/>
        </w:rPr>
      </w:pPr>
      <w:r>
        <w:rPr>
          <w:sz w:val="20"/>
        </w:rPr>
        <w:t>...</w:t>
      </w:r>
      <w:r>
        <w:rPr>
          <w:spacing w:val="-3"/>
          <w:sz w:val="20"/>
        </w:rPr>
        <w:t> </w:t>
      </w:r>
      <w:r>
        <w:rPr>
          <w:sz w:val="20"/>
        </w:rPr>
        <w:t>Не</w:t>
      </w:r>
      <w:r>
        <w:rPr>
          <w:spacing w:val="-4"/>
          <w:sz w:val="20"/>
        </w:rPr>
        <w:t> </w:t>
      </w:r>
      <w:r>
        <w:rPr>
          <w:sz w:val="20"/>
        </w:rPr>
        <w:t>располаже</w:t>
      </w:r>
      <w:r>
        <w:rPr>
          <w:spacing w:val="-5"/>
          <w:sz w:val="20"/>
        </w:rPr>
        <w:t> </w:t>
      </w:r>
      <w:r>
        <w:rPr>
          <w:sz w:val="20"/>
        </w:rPr>
        <w:t>се</w:t>
      </w:r>
      <w:r>
        <w:rPr>
          <w:spacing w:val="-4"/>
          <w:sz w:val="20"/>
        </w:rPr>
        <w:t> </w:t>
      </w:r>
      <w:r>
        <w:rPr>
          <w:spacing w:val="-2"/>
          <w:sz w:val="20"/>
        </w:rPr>
        <w:t>податком</w:t>
      </w:r>
    </w:p>
    <w:p>
      <w:pPr>
        <w:spacing w:before="0"/>
        <w:ind w:left="360" w:right="0" w:firstLine="0"/>
        <w:jc w:val="both"/>
        <w:rPr>
          <w:i/>
          <w:sz w:val="20"/>
        </w:rPr>
      </w:pPr>
      <w:r>
        <w:rPr>
          <w:i/>
          <w:sz w:val="20"/>
        </w:rPr>
        <w:t>Извор:</w:t>
      </w:r>
      <w:r>
        <w:rPr>
          <w:i/>
          <w:spacing w:val="-7"/>
          <w:sz w:val="20"/>
        </w:rPr>
        <w:t> </w:t>
      </w:r>
      <w:r>
        <w:rPr>
          <w:i/>
          <w:sz w:val="20"/>
        </w:rPr>
        <w:t>РЗС,</w:t>
      </w:r>
      <w:r>
        <w:rPr>
          <w:i/>
          <w:spacing w:val="-6"/>
          <w:sz w:val="20"/>
        </w:rPr>
        <w:t> </w:t>
      </w:r>
      <w:r>
        <w:rPr>
          <w:i/>
          <w:sz w:val="20"/>
        </w:rPr>
        <w:t>Истраживање</w:t>
      </w:r>
      <w:r>
        <w:rPr>
          <w:i/>
          <w:spacing w:val="-5"/>
          <w:sz w:val="20"/>
        </w:rPr>
        <w:t> </w:t>
      </w:r>
      <w:r>
        <w:rPr>
          <w:i/>
          <w:sz w:val="20"/>
        </w:rPr>
        <w:t>о</w:t>
      </w:r>
      <w:r>
        <w:rPr>
          <w:i/>
          <w:spacing w:val="-5"/>
          <w:sz w:val="20"/>
        </w:rPr>
        <w:t> </w:t>
      </w:r>
      <w:r>
        <w:rPr>
          <w:i/>
          <w:sz w:val="20"/>
        </w:rPr>
        <w:t>регистрованој</w:t>
      </w:r>
      <w:r>
        <w:rPr>
          <w:i/>
          <w:spacing w:val="-8"/>
          <w:sz w:val="20"/>
        </w:rPr>
        <w:t> </w:t>
      </w:r>
      <w:r>
        <w:rPr>
          <w:i/>
          <w:spacing w:val="-2"/>
          <w:sz w:val="20"/>
        </w:rPr>
        <w:t>запослености</w:t>
      </w:r>
    </w:p>
    <w:p>
      <w:pPr>
        <w:pStyle w:val="BodyText"/>
        <w:spacing w:before="43"/>
        <w:ind w:left="0"/>
        <w:jc w:val="left"/>
        <w:rPr>
          <w:i/>
          <w:sz w:val="20"/>
        </w:rPr>
      </w:pPr>
    </w:p>
    <w:p>
      <w:pPr>
        <w:pStyle w:val="BodyText"/>
        <w:ind w:right="719" w:firstLine="719"/>
      </w:pPr>
      <w:r>
        <w:rPr/>
        <w:t>Учешће</w:t>
      </w:r>
      <w:r>
        <w:rPr>
          <w:spacing w:val="-1"/>
        </w:rPr>
        <w:t> </w:t>
      </w:r>
      <w:r>
        <w:rPr/>
        <w:t>мушкараца</w:t>
      </w:r>
      <w:r>
        <w:rPr>
          <w:spacing w:val="-1"/>
        </w:rPr>
        <w:t> </w:t>
      </w:r>
      <w:r>
        <w:rPr/>
        <w:t>(54%) у укупној регистрованој запослености је више</w:t>
      </w:r>
      <w:r>
        <w:rPr>
          <w:spacing w:val="-1"/>
        </w:rPr>
        <w:t> </w:t>
      </w:r>
      <w:r>
        <w:rPr/>
        <w:t>од учешћа жена</w:t>
      </w:r>
      <w:r>
        <w:rPr>
          <w:spacing w:val="-14"/>
        </w:rPr>
        <w:t> </w:t>
      </w:r>
      <w:r>
        <w:rPr/>
        <w:t>(46%).</w:t>
      </w:r>
      <w:r>
        <w:rPr>
          <w:spacing w:val="-13"/>
        </w:rPr>
        <w:t> </w:t>
      </w:r>
      <w:r>
        <w:rPr/>
        <w:t>Током</w:t>
      </w:r>
      <w:r>
        <w:rPr>
          <w:spacing w:val="-10"/>
        </w:rPr>
        <w:t> </w:t>
      </w:r>
      <w:r>
        <w:rPr/>
        <w:t>периода</w:t>
      </w:r>
      <w:r>
        <w:rPr>
          <w:spacing w:val="-13"/>
        </w:rPr>
        <w:t> </w:t>
      </w:r>
      <w:r>
        <w:rPr/>
        <w:t>2016-2019.</w:t>
      </w:r>
      <w:r>
        <w:rPr>
          <w:spacing w:val="-12"/>
        </w:rPr>
        <w:t> </w:t>
      </w:r>
      <w:r>
        <w:rPr/>
        <w:t>године,</w:t>
      </w:r>
      <w:r>
        <w:rPr>
          <w:spacing w:val="-12"/>
        </w:rPr>
        <w:t> </w:t>
      </w:r>
      <w:r>
        <w:rPr/>
        <w:t>за</w:t>
      </w:r>
      <w:r>
        <w:rPr>
          <w:spacing w:val="-13"/>
        </w:rPr>
        <w:t> </w:t>
      </w:r>
      <w:r>
        <w:rPr/>
        <w:t>који</w:t>
      </w:r>
      <w:r>
        <w:rPr>
          <w:spacing w:val="-11"/>
        </w:rPr>
        <w:t> </w:t>
      </w:r>
      <w:r>
        <w:rPr/>
        <w:t>су</w:t>
      </w:r>
      <w:r>
        <w:rPr>
          <w:spacing w:val="-15"/>
        </w:rPr>
        <w:t> </w:t>
      </w:r>
      <w:r>
        <w:rPr/>
        <w:t>доступни</w:t>
      </w:r>
      <w:r>
        <w:rPr>
          <w:spacing w:val="-11"/>
        </w:rPr>
        <w:t> </w:t>
      </w:r>
      <w:r>
        <w:rPr/>
        <w:t>подаци</w:t>
      </w:r>
      <w:r>
        <w:rPr>
          <w:spacing w:val="-11"/>
        </w:rPr>
        <w:t> </w:t>
      </w:r>
      <w:r>
        <w:rPr/>
        <w:t>по</w:t>
      </w:r>
      <w:r>
        <w:rPr>
          <w:spacing w:val="-12"/>
        </w:rPr>
        <w:t> </w:t>
      </w:r>
      <w:r>
        <w:rPr/>
        <w:t>полу,</w:t>
      </w:r>
      <w:r>
        <w:rPr>
          <w:spacing w:val="-10"/>
        </w:rPr>
        <w:t> </w:t>
      </w:r>
      <w:r>
        <w:rPr/>
        <w:t>повећан је број регистрованих запослених међу припадницима оба пола, при чему је раст регистроване запослености био израженији код жена (код жена се бележи раст од око 93 хиљада или 10,3%, а код мушкараца од око 70 хиљада или 6,4%).</w:t>
      </w:r>
    </w:p>
    <w:p>
      <w:pPr>
        <w:pStyle w:val="BodyText"/>
        <w:spacing w:before="60"/>
        <w:ind w:right="718" w:firstLine="719"/>
      </w:pPr>
      <w:r>
        <w:rPr/>
        <w:t>Посматрано према делатностима, више од петине (21,9%) укупног броја регистрованих</w:t>
      </w:r>
      <w:r>
        <w:rPr>
          <w:spacing w:val="-1"/>
        </w:rPr>
        <w:t> </w:t>
      </w:r>
      <w:r>
        <w:rPr/>
        <w:t>запослених у</w:t>
      </w:r>
      <w:r>
        <w:rPr>
          <w:spacing w:val="-9"/>
        </w:rPr>
        <w:t> </w:t>
      </w:r>
      <w:r>
        <w:rPr/>
        <w:t>правним</w:t>
      </w:r>
      <w:r>
        <w:rPr>
          <w:spacing w:val="-2"/>
        </w:rPr>
        <w:t> </w:t>
      </w:r>
      <w:r>
        <w:rPr/>
        <w:t>лицима</w:t>
      </w:r>
      <w:r>
        <w:rPr>
          <w:spacing w:val="-4"/>
        </w:rPr>
        <w:t> </w:t>
      </w:r>
      <w:r>
        <w:rPr/>
        <w:t>и предузетника</w:t>
      </w:r>
      <w:r>
        <w:rPr>
          <w:spacing w:val="-2"/>
        </w:rPr>
        <w:t> </w:t>
      </w:r>
      <w:r>
        <w:rPr/>
        <w:t>и запослених код</w:t>
      </w:r>
      <w:r>
        <w:rPr>
          <w:spacing w:val="-1"/>
        </w:rPr>
        <w:t> </w:t>
      </w:r>
      <w:r>
        <w:rPr/>
        <w:t>њих</w:t>
      </w:r>
      <w:r>
        <w:rPr>
          <w:spacing w:val="-1"/>
        </w:rPr>
        <w:t> </w:t>
      </w:r>
      <w:r>
        <w:rPr/>
        <w:t>и лица која самостално обављају делатност, ради у прерађивачкој индустрији (пре свега прехрамбеној, металној и машинској индустрији), док је у трговини запослено 16,3% (највише у малопродаји). У периоду 2015-2019. године повећана је регистрована запосленост у већини делатности (највише у прерађивачкој индустрији и административним и помоћним услужним делатностима), док се највеће смањење броја запослених бележи у делатностима здравствене и социјалне заштите (нешто више од 9,5 хиљада) и пољопривреде (око 5,8 хиљада).</w:t>
      </w:r>
    </w:p>
    <w:p>
      <w:pPr>
        <w:pStyle w:val="BodyText"/>
        <w:spacing w:before="60"/>
        <w:ind w:right="720" w:firstLine="719"/>
      </w:pPr>
      <w:r>
        <w:rPr/>
        <w:t>У</w:t>
      </w:r>
      <w:r>
        <w:rPr>
          <w:spacing w:val="-1"/>
        </w:rPr>
        <w:t> </w:t>
      </w:r>
      <w:r>
        <w:rPr/>
        <w:t>јавном</w:t>
      </w:r>
      <w:r>
        <w:rPr>
          <w:spacing w:val="-2"/>
        </w:rPr>
        <w:t> </w:t>
      </w:r>
      <w:r>
        <w:rPr/>
        <w:t>сектору</w:t>
      </w:r>
      <w:r>
        <w:rPr>
          <w:spacing w:val="-6"/>
        </w:rPr>
        <w:t> </w:t>
      </w:r>
      <w:r>
        <w:rPr/>
        <w:t>било</w:t>
      </w:r>
      <w:r>
        <w:rPr>
          <w:spacing w:val="-1"/>
        </w:rPr>
        <w:t> </w:t>
      </w:r>
      <w:r>
        <w:rPr/>
        <w:t>је</w:t>
      </w:r>
      <w:r>
        <w:rPr>
          <w:spacing w:val="-2"/>
        </w:rPr>
        <w:t> </w:t>
      </w:r>
      <w:r>
        <w:rPr/>
        <w:t>око</w:t>
      </w:r>
      <w:r>
        <w:rPr>
          <w:spacing w:val="-1"/>
        </w:rPr>
        <w:t> </w:t>
      </w:r>
      <w:r>
        <w:rPr/>
        <w:t>600</w:t>
      </w:r>
      <w:r>
        <w:rPr>
          <w:spacing w:val="-3"/>
        </w:rPr>
        <w:t> </w:t>
      </w:r>
      <w:r>
        <w:rPr/>
        <w:t>хиљада</w:t>
      </w:r>
      <w:r>
        <w:rPr>
          <w:spacing w:val="-2"/>
        </w:rPr>
        <w:t> </w:t>
      </w:r>
      <w:r>
        <w:rPr/>
        <w:t>регистрованих запослених у</w:t>
      </w:r>
      <w:r>
        <w:rPr>
          <w:spacing w:val="-6"/>
        </w:rPr>
        <w:t> </w:t>
      </w:r>
      <w:r>
        <w:rPr/>
        <w:t>2019.</w:t>
      </w:r>
      <w:r>
        <w:rPr>
          <w:spacing w:val="-1"/>
        </w:rPr>
        <w:t> </w:t>
      </w:r>
      <w:r>
        <w:rPr/>
        <w:t>години, што је за 35 хиљада (или 5,5%) мање него у 2015. години. Смањење броја запослених је забележено у готово свим сегментима јавног сектора, изузев код запослених на нивоу локалне самоуправе (повећање за око 600 лица или 2,3%).</w:t>
      </w:r>
    </w:p>
    <w:p>
      <w:pPr>
        <w:spacing w:before="121"/>
        <w:ind w:left="360" w:right="0" w:firstLine="0"/>
        <w:jc w:val="both"/>
        <w:rPr>
          <w:i/>
          <w:sz w:val="24"/>
        </w:rPr>
      </w:pPr>
      <w:r>
        <w:rPr>
          <w:i/>
          <w:sz w:val="24"/>
        </w:rPr>
        <w:t>Прекарна</w:t>
      </w:r>
      <w:r>
        <w:rPr>
          <w:i/>
          <w:spacing w:val="-4"/>
          <w:sz w:val="24"/>
        </w:rPr>
        <w:t> </w:t>
      </w:r>
      <w:r>
        <w:rPr>
          <w:i/>
          <w:spacing w:val="-2"/>
          <w:sz w:val="24"/>
        </w:rPr>
        <w:t>запосленост</w:t>
      </w:r>
    </w:p>
    <w:p>
      <w:pPr>
        <w:pStyle w:val="BodyText"/>
        <w:spacing w:before="120"/>
        <w:ind w:right="717" w:firstLine="719"/>
      </w:pPr>
      <w:r>
        <w:rPr/>
        <w:t>Прекарна запосленост је концепт који се односи на запослене који су ускраћени за егзистенцијалну сигурност и стабилност која се обично повезује са сталним запослењем. Једно новије истраживање</w:t>
      </w:r>
      <w:r>
        <w:rPr>
          <w:vertAlign w:val="superscript"/>
        </w:rPr>
        <w:t>19</w:t>
      </w:r>
      <w:r>
        <w:rPr>
          <w:vertAlign w:val="baseline"/>
        </w:rPr>
        <w:t>, показало је да расте број и учешће запослених у прекарним облицима рада, пре свега радника запослених на одређено време и на привременим и повременим пословима, као и рањиве запослености. Трећини запослених у Србији ускраћена</w:t>
      </w:r>
      <w:r>
        <w:rPr>
          <w:spacing w:val="47"/>
          <w:vertAlign w:val="baseline"/>
        </w:rPr>
        <w:t> </w:t>
      </w:r>
      <w:r>
        <w:rPr>
          <w:vertAlign w:val="baseline"/>
        </w:rPr>
        <w:t>су</w:t>
      </w:r>
      <w:r>
        <w:rPr>
          <w:spacing w:val="44"/>
          <w:vertAlign w:val="baseline"/>
        </w:rPr>
        <w:t> </w:t>
      </w:r>
      <w:r>
        <w:rPr>
          <w:vertAlign w:val="baseline"/>
        </w:rPr>
        <w:t>радна</w:t>
      </w:r>
      <w:r>
        <w:rPr>
          <w:spacing w:val="49"/>
          <w:vertAlign w:val="baseline"/>
        </w:rPr>
        <w:t> </w:t>
      </w:r>
      <w:r>
        <w:rPr>
          <w:vertAlign w:val="baseline"/>
        </w:rPr>
        <w:t>права</w:t>
      </w:r>
      <w:r>
        <w:rPr>
          <w:spacing w:val="50"/>
          <w:vertAlign w:val="baseline"/>
        </w:rPr>
        <w:t> </w:t>
      </w:r>
      <w:r>
        <w:rPr>
          <w:vertAlign w:val="baseline"/>
        </w:rPr>
        <w:t>и/или</w:t>
      </w:r>
      <w:r>
        <w:rPr>
          <w:spacing w:val="49"/>
          <w:vertAlign w:val="baseline"/>
        </w:rPr>
        <w:t> </w:t>
      </w:r>
      <w:r>
        <w:rPr>
          <w:vertAlign w:val="baseline"/>
        </w:rPr>
        <w:t>права</w:t>
      </w:r>
      <w:r>
        <w:rPr>
          <w:spacing w:val="50"/>
          <w:vertAlign w:val="baseline"/>
        </w:rPr>
        <w:t> </w:t>
      </w:r>
      <w:r>
        <w:rPr>
          <w:vertAlign w:val="baseline"/>
        </w:rPr>
        <w:t>из</w:t>
      </w:r>
      <w:r>
        <w:rPr>
          <w:spacing w:val="49"/>
          <w:vertAlign w:val="baseline"/>
        </w:rPr>
        <w:t> </w:t>
      </w:r>
      <w:r>
        <w:rPr>
          <w:vertAlign w:val="baseline"/>
        </w:rPr>
        <w:t>социјалног</w:t>
      </w:r>
      <w:r>
        <w:rPr>
          <w:spacing w:val="49"/>
          <w:vertAlign w:val="baseline"/>
        </w:rPr>
        <w:t> </w:t>
      </w:r>
      <w:r>
        <w:rPr>
          <w:vertAlign w:val="baseline"/>
        </w:rPr>
        <w:t>осигурања,</w:t>
      </w:r>
      <w:r>
        <w:rPr>
          <w:spacing w:val="50"/>
          <w:vertAlign w:val="baseline"/>
        </w:rPr>
        <w:t> </w:t>
      </w:r>
      <w:r>
        <w:rPr>
          <w:vertAlign w:val="baseline"/>
        </w:rPr>
        <w:t>четвртина</w:t>
      </w:r>
      <w:r>
        <w:rPr>
          <w:spacing w:val="50"/>
          <w:vertAlign w:val="baseline"/>
        </w:rPr>
        <w:t> </w:t>
      </w:r>
      <w:r>
        <w:rPr>
          <w:spacing w:val="-2"/>
          <w:vertAlign w:val="baseline"/>
        </w:rPr>
        <w:t>запослених</w:t>
      </w:r>
    </w:p>
    <w:p>
      <w:pPr>
        <w:pStyle w:val="BodyText"/>
        <w:ind w:left="0"/>
        <w:jc w:val="left"/>
        <w:rPr>
          <w:sz w:val="20"/>
        </w:rPr>
      </w:pPr>
    </w:p>
    <w:p>
      <w:pPr>
        <w:pStyle w:val="BodyText"/>
        <w:spacing w:before="144"/>
        <w:ind w:left="0"/>
        <w:jc w:val="left"/>
        <w:rPr>
          <w:sz w:val="20"/>
        </w:rPr>
      </w:pPr>
      <w:r>
        <w:rPr>
          <w:sz w:val="20"/>
        </w:rPr>
        <mc:AlternateContent>
          <mc:Choice Requires="wps">
            <w:drawing>
              <wp:anchor distT="0" distB="0" distL="0" distR="0" allowOverlap="1" layoutInCell="1" locked="0" behindDoc="1" simplePos="0" relativeHeight="487593984">
                <wp:simplePos x="0" y="0"/>
                <wp:positionH relativeFrom="page">
                  <wp:posOffset>914704</wp:posOffset>
                </wp:positionH>
                <wp:positionV relativeFrom="paragraph">
                  <wp:posOffset>252898</wp:posOffset>
                </wp:positionV>
                <wp:extent cx="1829435" cy="9525"/>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913233pt;width:144.020pt;height:.71997pt;mso-position-horizontal-relative:page;mso-position-vertical-relative:paragraph;z-index:-15722496;mso-wrap-distance-left:0;mso-wrap-distance-right:0" id="docshape15" filled="true" fillcolor="#000000" stroked="false">
                <v:fill type="solid"/>
                <w10:wrap type="topAndBottom"/>
              </v:rect>
            </w:pict>
          </mc:Fallback>
        </mc:AlternateContent>
      </w:r>
    </w:p>
    <w:p>
      <w:pPr>
        <w:spacing w:before="115"/>
        <w:ind w:left="360" w:right="0" w:firstLine="0"/>
        <w:jc w:val="left"/>
        <w:rPr>
          <w:sz w:val="18"/>
        </w:rPr>
      </w:pPr>
      <w:r>
        <w:rPr>
          <w:sz w:val="18"/>
          <w:vertAlign w:val="superscript"/>
        </w:rPr>
        <w:t>19</w:t>
      </w:r>
      <w:r>
        <w:rPr>
          <w:spacing w:val="3"/>
          <w:sz w:val="18"/>
          <w:vertAlign w:val="baseline"/>
        </w:rPr>
        <w:t> </w:t>
      </w:r>
      <w:r>
        <w:rPr>
          <w:sz w:val="18"/>
          <w:vertAlign w:val="baseline"/>
        </w:rPr>
        <w:t>Прекарна</w:t>
      </w:r>
      <w:r>
        <w:rPr>
          <w:spacing w:val="-2"/>
          <w:sz w:val="18"/>
          <w:vertAlign w:val="baseline"/>
        </w:rPr>
        <w:t> </w:t>
      </w:r>
      <w:r>
        <w:rPr>
          <w:sz w:val="18"/>
          <w:vertAlign w:val="baseline"/>
        </w:rPr>
        <w:t>запосленост на</w:t>
      </w:r>
      <w:r>
        <w:rPr>
          <w:spacing w:val="-2"/>
          <w:sz w:val="18"/>
          <w:vertAlign w:val="baseline"/>
        </w:rPr>
        <w:t> </w:t>
      </w:r>
      <w:r>
        <w:rPr>
          <w:sz w:val="18"/>
          <w:vertAlign w:val="baseline"/>
        </w:rPr>
        <w:t>тржишту</w:t>
      </w:r>
      <w:r>
        <w:rPr>
          <w:spacing w:val="-2"/>
          <w:sz w:val="18"/>
          <w:vertAlign w:val="baseline"/>
        </w:rPr>
        <w:t> </w:t>
      </w:r>
      <w:r>
        <w:rPr>
          <w:sz w:val="18"/>
          <w:vertAlign w:val="baseline"/>
        </w:rPr>
        <w:t>рада</w:t>
      </w:r>
      <w:r>
        <w:rPr>
          <w:spacing w:val="-2"/>
          <w:sz w:val="18"/>
          <w:vertAlign w:val="baseline"/>
        </w:rPr>
        <w:t> </w:t>
      </w:r>
      <w:r>
        <w:rPr>
          <w:sz w:val="18"/>
          <w:vertAlign w:val="baseline"/>
        </w:rPr>
        <w:t>Србије,</w:t>
      </w:r>
      <w:r>
        <w:rPr>
          <w:spacing w:val="-1"/>
          <w:sz w:val="18"/>
          <w:vertAlign w:val="baseline"/>
        </w:rPr>
        <w:t> </w:t>
      </w:r>
      <w:r>
        <w:rPr>
          <w:sz w:val="18"/>
          <w:vertAlign w:val="baseline"/>
        </w:rPr>
        <w:t>С.</w:t>
      </w:r>
      <w:r>
        <w:rPr>
          <w:spacing w:val="-1"/>
          <w:sz w:val="18"/>
          <w:vertAlign w:val="baseline"/>
        </w:rPr>
        <w:t> </w:t>
      </w:r>
      <w:r>
        <w:rPr>
          <w:sz w:val="18"/>
          <w:vertAlign w:val="baseline"/>
        </w:rPr>
        <w:t>Брадаш, (2018)</w:t>
      </w:r>
      <w:r>
        <w:rPr>
          <w:spacing w:val="-1"/>
          <w:sz w:val="18"/>
          <w:vertAlign w:val="baseline"/>
        </w:rPr>
        <w:t> </w:t>
      </w:r>
      <w:r>
        <w:rPr>
          <w:sz w:val="18"/>
          <w:vertAlign w:val="baseline"/>
        </w:rPr>
        <w:t>Фондација</w:t>
      </w:r>
      <w:r>
        <w:rPr>
          <w:spacing w:val="-1"/>
          <w:sz w:val="18"/>
          <w:vertAlign w:val="baseline"/>
        </w:rPr>
        <w:t> </w:t>
      </w:r>
      <w:r>
        <w:rPr>
          <w:sz w:val="18"/>
          <w:vertAlign w:val="baseline"/>
        </w:rPr>
        <w:t>Центар</w:t>
      </w:r>
      <w:r>
        <w:rPr>
          <w:spacing w:val="-1"/>
          <w:sz w:val="18"/>
          <w:vertAlign w:val="baseline"/>
        </w:rPr>
        <w:t> </w:t>
      </w:r>
      <w:r>
        <w:rPr>
          <w:sz w:val="18"/>
          <w:vertAlign w:val="baseline"/>
        </w:rPr>
        <w:t>за</w:t>
      </w:r>
      <w:r>
        <w:rPr>
          <w:spacing w:val="-2"/>
          <w:sz w:val="18"/>
          <w:vertAlign w:val="baseline"/>
        </w:rPr>
        <w:t> демократију</w:t>
      </w:r>
    </w:p>
    <w:p>
      <w:pPr>
        <w:spacing w:after="0"/>
        <w:jc w:val="left"/>
        <w:rPr>
          <w:sz w:val="18"/>
        </w:rPr>
        <w:sectPr>
          <w:pgSz w:w="12240" w:h="15840"/>
          <w:pgMar w:header="0" w:footer="702" w:top="1360" w:bottom="900" w:left="1080" w:right="720"/>
        </w:sectPr>
      </w:pPr>
    </w:p>
    <w:p>
      <w:pPr>
        <w:pStyle w:val="BodyText"/>
        <w:spacing w:before="72"/>
        <w:ind w:right="723"/>
      </w:pPr>
      <w:r>
        <w:rPr/>
        <w:t>угрожена је финансијски и материјално, док је половина запослених једина особа која је запослена у домаћинству.</w:t>
      </w:r>
    </w:p>
    <w:p>
      <w:pPr>
        <w:pStyle w:val="BodyText"/>
        <w:spacing w:before="120"/>
        <w:ind w:right="718" w:firstLine="719"/>
      </w:pPr>
      <w:r>
        <w:rPr/>
        <w:t>Истраживање указује на слабости „флексибилнихˮ законских института уговора о делу, уговора о привременим и повременим пословима, уговора о стручном оспособљавању, ангажовања преко студентске или омладинске задруге итд. Законска регулатива тумачи се прешироко и произвољно од стране послодаваца, тако да ове форме рада постају све заступљеније, а радна и социјална права оних који су у њих укључени бивају озбиљно доведена у питање.</w:t>
      </w:r>
    </w:p>
    <w:p>
      <w:pPr>
        <w:spacing w:before="120"/>
        <w:ind w:left="360" w:right="0" w:firstLine="0"/>
        <w:jc w:val="both"/>
        <w:rPr>
          <w:i/>
          <w:sz w:val="24"/>
        </w:rPr>
      </w:pPr>
      <w:r>
        <w:rPr>
          <w:i/>
          <w:sz w:val="24"/>
        </w:rPr>
        <w:t>Регистрована</w:t>
      </w:r>
      <w:r>
        <w:rPr>
          <w:i/>
          <w:spacing w:val="-4"/>
          <w:sz w:val="24"/>
        </w:rPr>
        <w:t> </w:t>
      </w:r>
      <w:r>
        <w:rPr>
          <w:i/>
          <w:spacing w:val="-2"/>
          <w:sz w:val="24"/>
        </w:rPr>
        <w:t>незапосленост</w:t>
      </w:r>
    </w:p>
    <w:p>
      <w:pPr>
        <w:pStyle w:val="BodyText"/>
        <w:spacing w:before="120"/>
        <w:ind w:right="717" w:firstLine="719"/>
      </w:pPr>
      <w:r>
        <w:rPr/>
        <w:t>Позитиван тренд смањења анкетне незапослености пратио је и тренд смањења регистроване незапослености у периоду 2015-2019. године. Просечан број незапослених лица</w:t>
      </w:r>
      <w:r>
        <w:rPr>
          <w:spacing w:val="-7"/>
        </w:rPr>
        <w:t> </w:t>
      </w:r>
      <w:r>
        <w:rPr/>
        <w:t>на</w:t>
      </w:r>
      <w:r>
        <w:rPr>
          <w:spacing w:val="-7"/>
        </w:rPr>
        <w:t> </w:t>
      </w:r>
      <w:r>
        <w:rPr/>
        <w:t>евиденцији</w:t>
      </w:r>
      <w:r>
        <w:rPr>
          <w:spacing w:val="-3"/>
        </w:rPr>
        <w:t> </w:t>
      </w:r>
      <w:r>
        <w:rPr/>
        <w:t>Националне</w:t>
      </w:r>
      <w:r>
        <w:rPr>
          <w:spacing w:val="-7"/>
        </w:rPr>
        <w:t> </w:t>
      </w:r>
      <w:r>
        <w:rPr/>
        <w:t>службе</w:t>
      </w:r>
      <w:r>
        <w:rPr>
          <w:spacing w:val="-7"/>
        </w:rPr>
        <w:t> </w:t>
      </w:r>
      <w:r>
        <w:rPr/>
        <w:t>за</w:t>
      </w:r>
      <w:r>
        <w:rPr>
          <w:spacing w:val="-7"/>
        </w:rPr>
        <w:t> </w:t>
      </w:r>
      <w:r>
        <w:rPr/>
        <w:t>запошљавање</w:t>
      </w:r>
      <w:r>
        <w:rPr>
          <w:spacing w:val="-7"/>
        </w:rPr>
        <w:t> </w:t>
      </w:r>
      <w:r>
        <w:rPr/>
        <w:t>(НСЗ)</w:t>
      </w:r>
      <w:r>
        <w:rPr>
          <w:spacing w:val="-4"/>
        </w:rPr>
        <w:t> </w:t>
      </w:r>
      <w:r>
        <w:rPr/>
        <w:t>у</w:t>
      </w:r>
      <w:r>
        <w:rPr>
          <w:spacing w:val="-11"/>
        </w:rPr>
        <w:t> </w:t>
      </w:r>
      <w:r>
        <w:rPr/>
        <w:t>2019.</w:t>
      </w:r>
      <w:r>
        <w:rPr>
          <w:spacing w:val="-4"/>
        </w:rPr>
        <w:t> </w:t>
      </w:r>
      <w:r>
        <w:rPr/>
        <w:t>години,</w:t>
      </w:r>
      <w:r>
        <w:rPr>
          <w:spacing w:val="-8"/>
        </w:rPr>
        <w:t> </w:t>
      </w:r>
      <w:r>
        <w:rPr/>
        <w:t>који</w:t>
      </w:r>
      <w:r>
        <w:rPr>
          <w:spacing w:val="-7"/>
        </w:rPr>
        <w:t> </w:t>
      </w:r>
      <w:r>
        <w:rPr/>
        <w:t>износи око 530 хиљада, смањен је за око 214 хиљада лица или 28,7% у односу на 2015. годину.</w:t>
      </w:r>
    </w:p>
    <w:p>
      <w:pPr>
        <w:pStyle w:val="BodyText"/>
        <w:spacing w:before="123"/>
        <w:ind w:left="593"/>
      </w:pPr>
      <w:r>
        <w:rPr/>
        <w:t>Табела</w:t>
      </w:r>
      <w:r>
        <w:rPr>
          <w:spacing w:val="-3"/>
        </w:rPr>
        <w:t> </w:t>
      </w:r>
      <w:r>
        <w:rPr/>
        <w:t>5.</w:t>
      </w:r>
      <w:r>
        <w:rPr>
          <w:spacing w:val="57"/>
        </w:rPr>
        <w:t>  </w:t>
      </w:r>
      <w:r>
        <w:rPr/>
        <w:t>Учешће</w:t>
      </w:r>
      <w:r>
        <w:rPr>
          <w:spacing w:val="-2"/>
        </w:rPr>
        <w:t> </w:t>
      </w:r>
      <w:r>
        <w:rPr/>
        <w:t>незапослених</w:t>
      </w:r>
      <w:r>
        <w:rPr>
          <w:spacing w:val="-2"/>
        </w:rPr>
        <w:t> </w:t>
      </w:r>
      <w:r>
        <w:rPr/>
        <w:t>на</w:t>
      </w:r>
      <w:r>
        <w:rPr>
          <w:spacing w:val="-3"/>
        </w:rPr>
        <w:t> </w:t>
      </w:r>
      <w:r>
        <w:rPr/>
        <w:t>евиденцији</w:t>
      </w:r>
      <w:r>
        <w:rPr>
          <w:spacing w:val="-1"/>
        </w:rPr>
        <w:t> </w:t>
      </w:r>
      <w:r>
        <w:rPr/>
        <w:t>НСЗ</w:t>
      </w:r>
      <w:r>
        <w:rPr>
          <w:spacing w:val="-4"/>
        </w:rPr>
        <w:t> </w:t>
      </w:r>
      <w:r>
        <w:rPr/>
        <w:t>по</w:t>
      </w:r>
      <w:r>
        <w:rPr>
          <w:spacing w:val="-2"/>
        </w:rPr>
        <w:t> </w:t>
      </w:r>
      <w:r>
        <w:rPr/>
        <w:t>карактеристикама,</w:t>
      </w:r>
      <w:r>
        <w:rPr>
          <w:spacing w:val="-2"/>
        </w:rPr>
        <w:t> 2015–2019</w:t>
      </w:r>
    </w:p>
    <w:p>
      <w:pPr>
        <w:pStyle w:val="BodyText"/>
        <w:spacing w:before="3"/>
        <w:ind w:left="0"/>
        <w:jc w:val="left"/>
        <w:rPr>
          <w:sz w:val="13"/>
        </w:r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1"/>
        <w:gridCol w:w="840"/>
        <w:gridCol w:w="878"/>
        <w:gridCol w:w="878"/>
        <w:gridCol w:w="878"/>
        <w:gridCol w:w="919"/>
        <w:gridCol w:w="1275"/>
      </w:tblGrid>
      <w:tr>
        <w:trPr>
          <w:trHeight w:val="369" w:hRule="atLeast"/>
        </w:trPr>
        <w:tc>
          <w:tcPr>
            <w:tcW w:w="3701" w:type="dxa"/>
            <w:tcBorders>
              <w:top w:val="single" w:sz="4" w:space="0" w:color="000000"/>
              <w:bottom w:val="single" w:sz="4" w:space="0" w:color="000000"/>
              <w:right w:val="single" w:sz="4" w:space="0" w:color="000000"/>
            </w:tcBorders>
          </w:tcPr>
          <w:p>
            <w:pPr>
              <w:pStyle w:val="TableParagraph"/>
              <w:rPr>
                <w:sz w:val="20"/>
              </w:rPr>
            </w:pPr>
          </w:p>
        </w:tc>
        <w:tc>
          <w:tcPr>
            <w:tcW w:w="840" w:type="dxa"/>
            <w:tcBorders>
              <w:top w:val="single" w:sz="4" w:space="0" w:color="000000"/>
              <w:left w:val="single" w:sz="4" w:space="0" w:color="000000"/>
              <w:bottom w:val="single" w:sz="4" w:space="0" w:color="000000"/>
            </w:tcBorders>
          </w:tcPr>
          <w:p>
            <w:pPr>
              <w:pStyle w:val="TableParagraph"/>
              <w:spacing w:before="81"/>
              <w:ind w:left="74" w:right="40"/>
              <w:jc w:val="center"/>
              <w:rPr>
                <w:b/>
                <w:sz w:val="18"/>
              </w:rPr>
            </w:pPr>
            <w:r>
              <w:rPr>
                <w:b/>
                <w:spacing w:val="-4"/>
                <w:sz w:val="18"/>
              </w:rPr>
              <w:t>2015</w:t>
            </w:r>
          </w:p>
        </w:tc>
        <w:tc>
          <w:tcPr>
            <w:tcW w:w="878" w:type="dxa"/>
            <w:tcBorders>
              <w:top w:val="single" w:sz="4" w:space="0" w:color="000000"/>
              <w:bottom w:val="single" w:sz="4" w:space="0" w:color="000000"/>
            </w:tcBorders>
          </w:tcPr>
          <w:p>
            <w:pPr>
              <w:pStyle w:val="TableParagraph"/>
              <w:spacing w:before="81"/>
              <w:ind w:left="81" w:right="3"/>
              <w:jc w:val="center"/>
              <w:rPr>
                <w:b/>
                <w:sz w:val="18"/>
              </w:rPr>
            </w:pPr>
            <w:r>
              <w:rPr>
                <w:b/>
                <w:spacing w:val="-4"/>
                <w:sz w:val="18"/>
              </w:rPr>
              <w:t>2016</w:t>
            </w:r>
          </w:p>
        </w:tc>
        <w:tc>
          <w:tcPr>
            <w:tcW w:w="878" w:type="dxa"/>
            <w:tcBorders>
              <w:top w:val="single" w:sz="4" w:space="0" w:color="000000"/>
              <w:bottom w:val="single" w:sz="4" w:space="0" w:color="000000"/>
            </w:tcBorders>
          </w:tcPr>
          <w:p>
            <w:pPr>
              <w:pStyle w:val="TableParagraph"/>
              <w:spacing w:before="81"/>
              <w:ind w:left="81" w:right="1"/>
              <w:jc w:val="center"/>
              <w:rPr>
                <w:b/>
                <w:sz w:val="18"/>
              </w:rPr>
            </w:pPr>
            <w:r>
              <w:rPr>
                <w:b/>
                <w:spacing w:val="-4"/>
                <w:sz w:val="18"/>
              </w:rPr>
              <w:t>2017</w:t>
            </w:r>
          </w:p>
        </w:tc>
        <w:tc>
          <w:tcPr>
            <w:tcW w:w="878" w:type="dxa"/>
            <w:tcBorders>
              <w:top w:val="single" w:sz="4" w:space="0" w:color="000000"/>
              <w:bottom w:val="single" w:sz="4" w:space="0" w:color="000000"/>
            </w:tcBorders>
          </w:tcPr>
          <w:p>
            <w:pPr>
              <w:pStyle w:val="TableParagraph"/>
              <w:spacing w:before="81"/>
              <w:ind w:left="81"/>
              <w:jc w:val="center"/>
              <w:rPr>
                <w:b/>
                <w:sz w:val="18"/>
              </w:rPr>
            </w:pPr>
            <w:r>
              <w:rPr>
                <w:b/>
                <w:spacing w:val="-4"/>
                <w:sz w:val="18"/>
              </w:rPr>
              <w:t>2018</w:t>
            </w:r>
          </w:p>
        </w:tc>
        <w:tc>
          <w:tcPr>
            <w:tcW w:w="919" w:type="dxa"/>
            <w:tcBorders>
              <w:top w:val="single" w:sz="4" w:space="0" w:color="000000"/>
              <w:bottom w:val="single" w:sz="4" w:space="0" w:color="000000"/>
              <w:right w:val="single" w:sz="4" w:space="0" w:color="000000"/>
            </w:tcBorders>
          </w:tcPr>
          <w:p>
            <w:pPr>
              <w:pStyle w:val="TableParagraph"/>
              <w:spacing w:before="81"/>
              <w:ind w:left="74" w:right="29"/>
              <w:jc w:val="center"/>
              <w:rPr>
                <w:b/>
                <w:sz w:val="18"/>
              </w:rPr>
            </w:pPr>
            <w:r>
              <w:rPr>
                <w:b/>
                <w:spacing w:val="-4"/>
                <w:sz w:val="18"/>
              </w:rPr>
              <w:t>2019</w:t>
            </w:r>
          </w:p>
        </w:tc>
        <w:tc>
          <w:tcPr>
            <w:tcW w:w="1275" w:type="dxa"/>
            <w:tcBorders>
              <w:top w:val="single" w:sz="4" w:space="0" w:color="000000"/>
              <w:left w:val="single" w:sz="4" w:space="0" w:color="000000"/>
              <w:bottom w:val="single" w:sz="4" w:space="0" w:color="000000"/>
            </w:tcBorders>
          </w:tcPr>
          <w:p>
            <w:pPr>
              <w:pStyle w:val="TableParagraph"/>
              <w:spacing w:line="182" w:lineRule="exact"/>
              <w:ind w:left="292" w:firstLine="19"/>
              <w:rPr>
                <w:b/>
                <w:sz w:val="16"/>
              </w:rPr>
            </w:pPr>
            <w:r>
              <w:rPr>
                <w:b/>
                <w:spacing w:val="-2"/>
                <w:sz w:val="16"/>
              </w:rPr>
              <w:t>Промена</w:t>
            </w:r>
            <w:r>
              <w:rPr>
                <w:b/>
                <w:spacing w:val="40"/>
                <w:sz w:val="16"/>
              </w:rPr>
              <w:t> </w:t>
            </w:r>
            <w:r>
              <w:rPr>
                <w:b/>
                <w:spacing w:val="-2"/>
                <w:sz w:val="16"/>
              </w:rPr>
              <w:t>2019/2015</w:t>
            </w:r>
          </w:p>
        </w:tc>
      </w:tr>
      <w:tr>
        <w:trPr>
          <w:trHeight w:val="253" w:hRule="atLeast"/>
        </w:trPr>
        <w:tc>
          <w:tcPr>
            <w:tcW w:w="3701" w:type="dxa"/>
            <w:vMerge w:val="restart"/>
            <w:tcBorders>
              <w:top w:val="single" w:sz="4" w:space="0" w:color="000000"/>
              <w:bottom w:val="single" w:sz="4" w:space="0" w:color="000000"/>
              <w:right w:val="single" w:sz="4" w:space="0" w:color="000000"/>
            </w:tcBorders>
          </w:tcPr>
          <w:p>
            <w:pPr>
              <w:pStyle w:val="TableParagraph"/>
              <w:spacing w:before="80"/>
              <w:rPr>
                <w:sz w:val="18"/>
              </w:rPr>
            </w:pPr>
          </w:p>
          <w:p>
            <w:pPr>
              <w:pStyle w:val="TableParagraph"/>
              <w:ind w:left="122"/>
              <w:rPr>
                <w:b/>
                <w:sz w:val="18"/>
              </w:rPr>
            </w:pPr>
            <w:r>
              <w:rPr>
                <w:b/>
                <w:sz w:val="18"/>
              </w:rPr>
              <w:t>Незапослена</w:t>
            </w:r>
            <w:r>
              <w:rPr>
                <w:b/>
                <w:spacing w:val="-10"/>
                <w:sz w:val="18"/>
              </w:rPr>
              <w:t> </w:t>
            </w:r>
            <w:r>
              <w:rPr>
                <w:b/>
                <w:spacing w:val="-4"/>
                <w:sz w:val="18"/>
              </w:rPr>
              <w:t>лица</w:t>
            </w:r>
          </w:p>
        </w:tc>
        <w:tc>
          <w:tcPr>
            <w:tcW w:w="4393" w:type="dxa"/>
            <w:gridSpan w:val="5"/>
            <w:tcBorders>
              <w:top w:val="single" w:sz="4" w:space="0" w:color="000000"/>
              <w:left w:val="single" w:sz="4" w:space="0" w:color="000000"/>
              <w:bottom w:val="single" w:sz="4" w:space="0" w:color="000000"/>
              <w:right w:val="single" w:sz="4" w:space="0" w:color="000000"/>
            </w:tcBorders>
          </w:tcPr>
          <w:p>
            <w:pPr>
              <w:pStyle w:val="TableParagraph"/>
              <w:spacing w:line="191" w:lineRule="exact" w:before="43"/>
              <w:ind w:left="948"/>
              <w:rPr>
                <w:sz w:val="18"/>
              </w:rPr>
            </w:pPr>
            <w:r>
              <w:rPr>
                <w:sz w:val="18"/>
              </w:rPr>
              <w:t>Број</w:t>
            </w:r>
            <w:r>
              <w:rPr>
                <w:spacing w:val="-3"/>
                <w:sz w:val="18"/>
              </w:rPr>
              <w:t> </w:t>
            </w:r>
            <w:r>
              <w:rPr>
                <w:sz w:val="18"/>
              </w:rPr>
              <w:t>лица</w:t>
            </w:r>
            <w:r>
              <w:rPr>
                <w:spacing w:val="-3"/>
                <w:sz w:val="18"/>
              </w:rPr>
              <w:t> </w:t>
            </w:r>
            <w:r>
              <w:rPr>
                <w:sz w:val="18"/>
              </w:rPr>
              <w:t>на</w:t>
            </w:r>
            <w:r>
              <w:rPr>
                <w:spacing w:val="-3"/>
                <w:sz w:val="18"/>
              </w:rPr>
              <w:t> </w:t>
            </w:r>
            <w:r>
              <w:rPr>
                <w:sz w:val="18"/>
              </w:rPr>
              <w:t>евиденцији,</w:t>
            </w:r>
            <w:r>
              <w:rPr>
                <w:spacing w:val="-2"/>
                <w:sz w:val="18"/>
              </w:rPr>
              <w:t> просек</w:t>
            </w:r>
          </w:p>
        </w:tc>
        <w:tc>
          <w:tcPr>
            <w:tcW w:w="1275" w:type="dxa"/>
            <w:tcBorders>
              <w:top w:val="single" w:sz="4" w:space="0" w:color="000000"/>
              <w:left w:val="single" w:sz="4" w:space="0" w:color="000000"/>
              <w:bottom w:val="single" w:sz="4" w:space="0" w:color="000000"/>
            </w:tcBorders>
          </w:tcPr>
          <w:p>
            <w:pPr>
              <w:pStyle w:val="TableParagraph"/>
              <w:spacing w:line="191" w:lineRule="exact" w:before="43"/>
              <w:ind w:left="8" w:right="5"/>
              <w:jc w:val="center"/>
              <w:rPr>
                <w:sz w:val="18"/>
              </w:rPr>
            </w:pPr>
            <w:r>
              <w:rPr>
                <w:spacing w:val="-4"/>
                <w:sz w:val="18"/>
              </w:rPr>
              <w:t>број</w:t>
            </w:r>
          </w:p>
        </w:tc>
      </w:tr>
      <w:tr>
        <w:trPr>
          <w:trHeight w:val="256" w:hRule="atLeast"/>
        </w:trPr>
        <w:tc>
          <w:tcPr>
            <w:tcW w:w="3701" w:type="dxa"/>
            <w:vMerge/>
            <w:tcBorders>
              <w:top w:val="nil"/>
              <w:bottom w:val="single" w:sz="4" w:space="0" w:color="000000"/>
              <w:right w:val="single" w:sz="4" w:space="0" w:color="000000"/>
            </w:tcBorders>
          </w:tcPr>
          <w:p>
            <w:pPr>
              <w:rPr>
                <w:sz w:val="2"/>
                <w:szCs w:val="2"/>
              </w:rPr>
            </w:pPr>
          </w:p>
        </w:tc>
        <w:tc>
          <w:tcPr>
            <w:tcW w:w="840" w:type="dxa"/>
            <w:tcBorders>
              <w:top w:val="single" w:sz="4" w:space="0" w:color="000000"/>
              <w:left w:val="single" w:sz="4" w:space="0" w:color="000000"/>
              <w:bottom w:val="single" w:sz="4" w:space="0" w:color="000000"/>
            </w:tcBorders>
          </w:tcPr>
          <w:p>
            <w:pPr>
              <w:pStyle w:val="TableParagraph"/>
              <w:spacing w:before="23"/>
              <w:ind w:left="34" w:right="74"/>
              <w:jc w:val="center"/>
              <w:rPr>
                <w:b/>
                <w:sz w:val="18"/>
              </w:rPr>
            </w:pPr>
            <w:r>
              <w:rPr>
                <w:b/>
                <w:spacing w:val="-2"/>
                <w:sz w:val="18"/>
              </w:rPr>
              <w:t>743.158</w:t>
            </w:r>
          </w:p>
        </w:tc>
        <w:tc>
          <w:tcPr>
            <w:tcW w:w="878" w:type="dxa"/>
            <w:tcBorders>
              <w:top w:val="single" w:sz="4" w:space="0" w:color="000000"/>
              <w:bottom w:val="single" w:sz="4" w:space="0" w:color="000000"/>
            </w:tcBorders>
          </w:tcPr>
          <w:p>
            <w:pPr>
              <w:pStyle w:val="TableParagraph"/>
              <w:spacing w:before="23"/>
              <w:ind w:left="81" w:right="80"/>
              <w:jc w:val="center"/>
              <w:rPr>
                <w:b/>
                <w:sz w:val="18"/>
              </w:rPr>
            </w:pPr>
            <w:r>
              <w:rPr>
                <w:b/>
                <w:spacing w:val="-2"/>
                <w:sz w:val="18"/>
              </w:rPr>
              <w:t>713.153</w:t>
            </w:r>
          </w:p>
        </w:tc>
        <w:tc>
          <w:tcPr>
            <w:tcW w:w="878" w:type="dxa"/>
            <w:tcBorders>
              <w:top w:val="single" w:sz="4" w:space="0" w:color="000000"/>
              <w:bottom w:val="single" w:sz="4" w:space="0" w:color="000000"/>
            </w:tcBorders>
          </w:tcPr>
          <w:p>
            <w:pPr>
              <w:pStyle w:val="TableParagraph"/>
              <w:spacing w:before="23"/>
              <w:ind w:left="81" w:right="78"/>
              <w:jc w:val="center"/>
              <w:rPr>
                <w:b/>
                <w:sz w:val="18"/>
              </w:rPr>
            </w:pPr>
            <w:r>
              <w:rPr>
                <w:b/>
                <w:spacing w:val="-2"/>
                <w:sz w:val="18"/>
              </w:rPr>
              <w:t>650.573</w:t>
            </w:r>
          </w:p>
        </w:tc>
        <w:tc>
          <w:tcPr>
            <w:tcW w:w="878" w:type="dxa"/>
            <w:tcBorders>
              <w:top w:val="single" w:sz="4" w:space="0" w:color="000000"/>
              <w:bottom w:val="single" w:sz="4" w:space="0" w:color="000000"/>
            </w:tcBorders>
          </w:tcPr>
          <w:p>
            <w:pPr>
              <w:pStyle w:val="TableParagraph"/>
              <w:spacing w:before="23"/>
              <w:ind w:left="81" w:right="78"/>
              <w:jc w:val="center"/>
              <w:rPr>
                <w:b/>
                <w:sz w:val="18"/>
              </w:rPr>
            </w:pPr>
            <w:r>
              <w:rPr>
                <w:b/>
                <w:spacing w:val="-2"/>
                <w:sz w:val="18"/>
              </w:rPr>
              <w:t>583.099</w:t>
            </w:r>
          </w:p>
        </w:tc>
        <w:tc>
          <w:tcPr>
            <w:tcW w:w="919" w:type="dxa"/>
            <w:tcBorders>
              <w:top w:val="single" w:sz="4" w:space="0" w:color="000000"/>
              <w:bottom w:val="single" w:sz="4" w:space="0" w:color="000000"/>
              <w:right w:val="single" w:sz="4" w:space="0" w:color="000000"/>
            </w:tcBorders>
          </w:tcPr>
          <w:p>
            <w:pPr>
              <w:pStyle w:val="TableParagraph"/>
              <w:spacing w:before="23"/>
              <w:ind w:left="45" w:right="74"/>
              <w:jc w:val="center"/>
              <w:rPr>
                <w:b/>
                <w:sz w:val="18"/>
              </w:rPr>
            </w:pPr>
            <w:r>
              <w:rPr>
                <w:b/>
                <w:spacing w:val="-2"/>
                <w:sz w:val="18"/>
              </w:rPr>
              <w:t>529.508</w:t>
            </w:r>
          </w:p>
        </w:tc>
        <w:tc>
          <w:tcPr>
            <w:tcW w:w="1275" w:type="dxa"/>
            <w:tcBorders>
              <w:top w:val="single" w:sz="4" w:space="0" w:color="000000"/>
              <w:left w:val="single" w:sz="4" w:space="0" w:color="000000"/>
              <w:bottom w:val="single" w:sz="4" w:space="0" w:color="000000"/>
            </w:tcBorders>
          </w:tcPr>
          <w:p>
            <w:pPr>
              <w:pStyle w:val="TableParagraph"/>
              <w:spacing w:before="23"/>
              <w:ind w:left="5" w:right="5"/>
              <w:jc w:val="center"/>
              <w:rPr>
                <w:b/>
                <w:sz w:val="18"/>
              </w:rPr>
            </w:pPr>
            <w:r>
              <w:rPr>
                <w:b/>
                <w:sz w:val="18"/>
              </w:rPr>
              <w:t>-</w:t>
            </w:r>
            <w:r>
              <w:rPr>
                <w:b/>
                <w:spacing w:val="-2"/>
                <w:sz w:val="18"/>
              </w:rPr>
              <w:t>213.651</w:t>
            </w:r>
          </w:p>
        </w:tc>
      </w:tr>
      <w:tr>
        <w:trPr>
          <w:trHeight w:val="366" w:hRule="atLeast"/>
        </w:trPr>
        <w:tc>
          <w:tcPr>
            <w:tcW w:w="3701" w:type="dxa"/>
            <w:vMerge/>
            <w:tcBorders>
              <w:top w:val="nil"/>
              <w:bottom w:val="single" w:sz="4" w:space="0" w:color="000000"/>
              <w:right w:val="single" w:sz="4" w:space="0" w:color="000000"/>
            </w:tcBorders>
          </w:tcPr>
          <w:p>
            <w:pPr>
              <w:rPr>
                <w:sz w:val="2"/>
                <w:szCs w:val="2"/>
              </w:rPr>
            </w:pPr>
          </w:p>
        </w:tc>
        <w:tc>
          <w:tcPr>
            <w:tcW w:w="4393" w:type="dxa"/>
            <w:gridSpan w:val="5"/>
            <w:tcBorders>
              <w:top w:val="single" w:sz="4" w:space="0" w:color="000000"/>
              <w:left w:val="single" w:sz="4" w:space="0" w:color="000000"/>
              <w:bottom w:val="single" w:sz="4" w:space="0" w:color="000000"/>
              <w:right w:val="single" w:sz="4" w:space="0" w:color="000000"/>
            </w:tcBorders>
          </w:tcPr>
          <w:p>
            <w:pPr>
              <w:pStyle w:val="TableParagraph"/>
              <w:spacing w:before="74"/>
              <w:ind w:left="1051"/>
              <w:rPr>
                <w:sz w:val="18"/>
              </w:rPr>
            </w:pPr>
            <w:r>
              <w:rPr>
                <w:sz w:val="18"/>
              </w:rPr>
              <w:t>Учешће</w:t>
            </w:r>
            <w:r>
              <w:rPr>
                <w:spacing w:val="-5"/>
                <w:sz w:val="18"/>
              </w:rPr>
              <w:t> </w:t>
            </w:r>
            <w:r>
              <w:rPr>
                <w:sz w:val="18"/>
              </w:rPr>
              <w:t>у</w:t>
            </w:r>
            <w:r>
              <w:rPr>
                <w:spacing w:val="-2"/>
                <w:sz w:val="18"/>
              </w:rPr>
              <w:t> </w:t>
            </w:r>
            <w:r>
              <w:rPr>
                <w:sz w:val="18"/>
              </w:rPr>
              <w:t>укупном</w:t>
            </w:r>
            <w:r>
              <w:rPr>
                <w:spacing w:val="-2"/>
                <w:sz w:val="18"/>
              </w:rPr>
              <w:t> </w:t>
            </w:r>
            <w:r>
              <w:rPr>
                <w:sz w:val="18"/>
              </w:rPr>
              <w:t>броју,</w:t>
            </w:r>
            <w:r>
              <w:rPr>
                <w:spacing w:val="2"/>
                <w:sz w:val="18"/>
              </w:rPr>
              <w:t> </w:t>
            </w:r>
            <w:r>
              <w:rPr>
                <w:sz w:val="18"/>
              </w:rPr>
              <w:t>у</w:t>
            </w:r>
            <w:r>
              <w:rPr>
                <w:spacing w:val="-2"/>
                <w:sz w:val="18"/>
              </w:rPr>
              <w:t> </w:t>
            </w:r>
            <w:r>
              <w:rPr>
                <w:spacing w:val="-10"/>
                <w:sz w:val="18"/>
              </w:rPr>
              <w:t>%</w:t>
            </w:r>
          </w:p>
        </w:tc>
        <w:tc>
          <w:tcPr>
            <w:tcW w:w="1275" w:type="dxa"/>
            <w:tcBorders>
              <w:top w:val="single" w:sz="4" w:space="0" w:color="000000"/>
              <w:left w:val="single" w:sz="4" w:space="0" w:color="000000"/>
              <w:bottom w:val="single" w:sz="4" w:space="0" w:color="000000"/>
            </w:tcBorders>
          </w:tcPr>
          <w:p>
            <w:pPr>
              <w:pStyle w:val="TableParagraph"/>
              <w:spacing w:line="178" w:lineRule="exact"/>
              <w:ind w:left="9" w:right="5"/>
              <w:jc w:val="center"/>
              <w:rPr>
                <w:sz w:val="16"/>
              </w:rPr>
            </w:pPr>
            <w:r>
              <w:rPr>
                <w:spacing w:val="-2"/>
                <w:sz w:val="16"/>
              </w:rPr>
              <w:t>процентни</w:t>
            </w:r>
          </w:p>
          <w:p>
            <w:pPr>
              <w:pStyle w:val="TableParagraph"/>
              <w:spacing w:line="168" w:lineRule="exact" w:before="1"/>
              <w:ind w:left="6" w:right="5"/>
              <w:jc w:val="center"/>
              <w:rPr>
                <w:sz w:val="16"/>
              </w:rPr>
            </w:pPr>
            <w:r>
              <w:rPr>
                <w:spacing w:val="-4"/>
                <w:sz w:val="16"/>
              </w:rPr>
              <w:t>поен</w:t>
            </w:r>
          </w:p>
        </w:tc>
      </w:tr>
      <w:tr>
        <w:trPr>
          <w:trHeight w:val="257" w:hRule="atLeast"/>
        </w:trPr>
        <w:tc>
          <w:tcPr>
            <w:tcW w:w="3701" w:type="dxa"/>
            <w:tcBorders>
              <w:top w:val="single" w:sz="4" w:space="0" w:color="000000"/>
              <w:right w:val="single" w:sz="4" w:space="0" w:color="000000"/>
            </w:tcBorders>
          </w:tcPr>
          <w:p>
            <w:pPr>
              <w:pStyle w:val="TableParagraph"/>
              <w:spacing w:before="23"/>
              <w:ind w:left="530"/>
              <w:rPr>
                <w:b/>
                <w:sz w:val="18"/>
              </w:rPr>
            </w:pPr>
            <w:r>
              <w:rPr>
                <w:b/>
                <w:spacing w:val="-5"/>
                <w:sz w:val="18"/>
              </w:rPr>
              <w:t>Пол</w:t>
            </w:r>
          </w:p>
        </w:tc>
        <w:tc>
          <w:tcPr>
            <w:tcW w:w="840" w:type="dxa"/>
            <w:tcBorders>
              <w:top w:val="single" w:sz="4" w:space="0" w:color="000000"/>
              <w:left w:val="single" w:sz="4" w:space="0" w:color="000000"/>
            </w:tcBorders>
          </w:tcPr>
          <w:p>
            <w:pPr>
              <w:pStyle w:val="TableParagraph"/>
              <w:rPr>
                <w:sz w:val="18"/>
              </w:rPr>
            </w:pPr>
          </w:p>
        </w:tc>
        <w:tc>
          <w:tcPr>
            <w:tcW w:w="878" w:type="dxa"/>
            <w:tcBorders>
              <w:top w:val="single" w:sz="4" w:space="0" w:color="000000"/>
            </w:tcBorders>
          </w:tcPr>
          <w:p>
            <w:pPr>
              <w:pStyle w:val="TableParagraph"/>
              <w:rPr>
                <w:sz w:val="18"/>
              </w:rPr>
            </w:pPr>
          </w:p>
        </w:tc>
        <w:tc>
          <w:tcPr>
            <w:tcW w:w="878" w:type="dxa"/>
            <w:tcBorders>
              <w:top w:val="single" w:sz="4" w:space="0" w:color="000000"/>
            </w:tcBorders>
          </w:tcPr>
          <w:p>
            <w:pPr>
              <w:pStyle w:val="TableParagraph"/>
              <w:rPr>
                <w:sz w:val="18"/>
              </w:rPr>
            </w:pPr>
          </w:p>
        </w:tc>
        <w:tc>
          <w:tcPr>
            <w:tcW w:w="878" w:type="dxa"/>
            <w:tcBorders>
              <w:top w:val="single" w:sz="4" w:space="0" w:color="000000"/>
            </w:tcBorders>
          </w:tcPr>
          <w:p>
            <w:pPr>
              <w:pStyle w:val="TableParagraph"/>
              <w:rPr>
                <w:sz w:val="18"/>
              </w:rPr>
            </w:pPr>
          </w:p>
        </w:tc>
        <w:tc>
          <w:tcPr>
            <w:tcW w:w="919" w:type="dxa"/>
            <w:tcBorders>
              <w:top w:val="single" w:sz="4" w:space="0" w:color="000000"/>
              <w:right w:val="single" w:sz="4" w:space="0" w:color="000000"/>
            </w:tcBorders>
          </w:tcPr>
          <w:p>
            <w:pPr>
              <w:pStyle w:val="TableParagraph"/>
              <w:rPr>
                <w:sz w:val="18"/>
              </w:rPr>
            </w:pPr>
          </w:p>
        </w:tc>
        <w:tc>
          <w:tcPr>
            <w:tcW w:w="1275" w:type="dxa"/>
            <w:tcBorders>
              <w:top w:val="single" w:sz="4" w:space="0" w:color="000000"/>
              <w:left w:val="single" w:sz="4" w:space="0" w:color="000000"/>
            </w:tcBorders>
          </w:tcPr>
          <w:p>
            <w:pPr>
              <w:pStyle w:val="TableParagraph"/>
              <w:rPr>
                <w:sz w:val="18"/>
              </w:rPr>
            </w:pPr>
          </w:p>
        </w:tc>
      </w:tr>
      <w:tr>
        <w:trPr>
          <w:trHeight w:val="251" w:hRule="atLeast"/>
        </w:trPr>
        <w:tc>
          <w:tcPr>
            <w:tcW w:w="3701" w:type="dxa"/>
            <w:tcBorders>
              <w:right w:val="single" w:sz="4" w:space="0" w:color="000000"/>
            </w:tcBorders>
          </w:tcPr>
          <w:p>
            <w:pPr>
              <w:pStyle w:val="TableParagraph"/>
              <w:spacing w:before="19"/>
              <w:ind w:left="122"/>
              <w:rPr>
                <w:sz w:val="18"/>
              </w:rPr>
            </w:pPr>
            <w:r>
              <w:rPr>
                <w:spacing w:val="-2"/>
                <w:sz w:val="18"/>
              </w:rPr>
              <w:t>Мушкарци</w:t>
            </w:r>
          </w:p>
        </w:tc>
        <w:tc>
          <w:tcPr>
            <w:tcW w:w="840" w:type="dxa"/>
            <w:tcBorders>
              <w:left w:val="single" w:sz="4" w:space="0" w:color="000000"/>
            </w:tcBorders>
          </w:tcPr>
          <w:p>
            <w:pPr>
              <w:pStyle w:val="TableParagraph"/>
              <w:spacing w:before="19"/>
              <w:ind w:left="72" w:right="40"/>
              <w:jc w:val="center"/>
              <w:rPr>
                <w:sz w:val="18"/>
              </w:rPr>
            </w:pPr>
            <w:r>
              <w:rPr>
                <w:spacing w:val="-4"/>
                <w:sz w:val="18"/>
              </w:rPr>
              <w:t>48,8</w:t>
            </w:r>
          </w:p>
        </w:tc>
        <w:tc>
          <w:tcPr>
            <w:tcW w:w="878" w:type="dxa"/>
          </w:tcPr>
          <w:p>
            <w:pPr>
              <w:pStyle w:val="TableParagraph"/>
              <w:spacing w:before="19"/>
              <w:ind w:left="81" w:right="5"/>
              <w:jc w:val="center"/>
              <w:rPr>
                <w:sz w:val="18"/>
              </w:rPr>
            </w:pPr>
            <w:r>
              <w:rPr>
                <w:spacing w:val="-4"/>
                <w:sz w:val="18"/>
              </w:rPr>
              <w:t>48,5</w:t>
            </w:r>
          </w:p>
        </w:tc>
        <w:tc>
          <w:tcPr>
            <w:tcW w:w="878" w:type="dxa"/>
          </w:tcPr>
          <w:p>
            <w:pPr>
              <w:pStyle w:val="TableParagraph"/>
              <w:spacing w:before="19"/>
              <w:ind w:left="81" w:right="3"/>
              <w:jc w:val="center"/>
              <w:rPr>
                <w:sz w:val="18"/>
              </w:rPr>
            </w:pPr>
            <w:r>
              <w:rPr>
                <w:spacing w:val="-4"/>
                <w:sz w:val="18"/>
              </w:rPr>
              <w:t>47,9</w:t>
            </w:r>
          </w:p>
        </w:tc>
        <w:tc>
          <w:tcPr>
            <w:tcW w:w="878" w:type="dxa"/>
          </w:tcPr>
          <w:p>
            <w:pPr>
              <w:pStyle w:val="TableParagraph"/>
              <w:spacing w:before="19"/>
              <w:ind w:left="81" w:right="3"/>
              <w:jc w:val="center"/>
              <w:rPr>
                <w:sz w:val="18"/>
              </w:rPr>
            </w:pPr>
            <w:r>
              <w:rPr>
                <w:spacing w:val="-4"/>
                <w:sz w:val="18"/>
              </w:rPr>
              <w:t>47,1</w:t>
            </w:r>
          </w:p>
        </w:tc>
        <w:tc>
          <w:tcPr>
            <w:tcW w:w="919" w:type="dxa"/>
            <w:tcBorders>
              <w:right w:val="single" w:sz="4" w:space="0" w:color="000000"/>
            </w:tcBorders>
          </w:tcPr>
          <w:p>
            <w:pPr>
              <w:pStyle w:val="TableParagraph"/>
              <w:spacing w:before="19"/>
              <w:ind w:left="72" w:right="29"/>
              <w:jc w:val="center"/>
              <w:rPr>
                <w:sz w:val="18"/>
              </w:rPr>
            </w:pPr>
            <w:r>
              <w:rPr>
                <w:spacing w:val="-4"/>
                <w:sz w:val="18"/>
              </w:rPr>
              <w:t>45,8</w:t>
            </w:r>
          </w:p>
        </w:tc>
        <w:tc>
          <w:tcPr>
            <w:tcW w:w="1275" w:type="dxa"/>
            <w:tcBorders>
              <w:left w:val="single" w:sz="4" w:space="0" w:color="000000"/>
            </w:tcBorders>
          </w:tcPr>
          <w:p>
            <w:pPr>
              <w:pStyle w:val="TableParagraph"/>
              <w:spacing w:line="227" w:lineRule="exact" w:before="5"/>
              <w:ind w:left="5" w:right="5"/>
              <w:jc w:val="center"/>
              <w:rPr>
                <w:sz w:val="20"/>
              </w:rPr>
            </w:pPr>
            <w:r>
              <w:rPr>
                <w:spacing w:val="-4"/>
                <w:sz w:val="20"/>
              </w:rPr>
              <w:t>-</w:t>
            </w:r>
            <w:r>
              <w:rPr>
                <w:spacing w:val="-5"/>
                <w:sz w:val="20"/>
              </w:rPr>
              <w:t>3,0</w:t>
            </w:r>
          </w:p>
        </w:tc>
      </w:tr>
      <w:tr>
        <w:trPr>
          <w:trHeight w:val="262" w:hRule="atLeast"/>
        </w:trPr>
        <w:tc>
          <w:tcPr>
            <w:tcW w:w="3701" w:type="dxa"/>
            <w:tcBorders>
              <w:right w:val="single" w:sz="4" w:space="0" w:color="000000"/>
            </w:tcBorders>
          </w:tcPr>
          <w:p>
            <w:pPr>
              <w:pStyle w:val="TableParagraph"/>
              <w:spacing w:before="21"/>
              <w:ind w:left="122"/>
              <w:rPr>
                <w:sz w:val="18"/>
              </w:rPr>
            </w:pPr>
            <w:r>
              <w:rPr>
                <w:spacing w:val="-4"/>
                <w:sz w:val="18"/>
              </w:rPr>
              <w:t>Жене</w:t>
            </w:r>
          </w:p>
        </w:tc>
        <w:tc>
          <w:tcPr>
            <w:tcW w:w="840" w:type="dxa"/>
            <w:tcBorders>
              <w:left w:val="single" w:sz="4" w:space="0" w:color="000000"/>
            </w:tcBorders>
          </w:tcPr>
          <w:p>
            <w:pPr>
              <w:pStyle w:val="TableParagraph"/>
              <w:spacing w:before="21"/>
              <w:ind w:left="72" w:right="40"/>
              <w:jc w:val="center"/>
              <w:rPr>
                <w:sz w:val="18"/>
              </w:rPr>
            </w:pPr>
            <w:r>
              <w:rPr>
                <w:spacing w:val="-4"/>
                <w:sz w:val="18"/>
              </w:rPr>
              <w:t>51,2</w:t>
            </w:r>
          </w:p>
        </w:tc>
        <w:tc>
          <w:tcPr>
            <w:tcW w:w="878" w:type="dxa"/>
          </w:tcPr>
          <w:p>
            <w:pPr>
              <w:pStyle w:val="TableParagraph"/>
              <w:spacing w:before="21"/>
              <w:ind w:left="81" w:right="5"/>
              <w:jc w:val="center"/>
              <w:rPr>
                <w:sz w:val="18"/>
              </w:rPr>
            </w:pPr>
            <w:r>
              <w:rPr>
                <w:spacing w:val="-4"/>
                <w:sz w:val="18"/>
              </w:rPr>
              <w:t>51,5</w:t>
            </w:r>
          </w:p>
        </w:tc>
        <w:tc>
          <w:tcPr>
            <w:tcW w:w="878" w:type="dxa"/>
          </w:tcPr>
          <w:p>
            <w:pPr>
              <w:pStyle w:val="TableParagraph"/>
              <w:spacing w:before="21"/>
              <w:ind w:left="81" w:right="3"/>
              <w:jc w:val="center"/>
              <w:rPr>
                <w:sz w:val="18"/>
              </w:rPr>
            </w:pPr>
            <w:r>
              <w:rPr>
                <w:spacing w:val="-4"/>
                <w:sz w:val="18"/>
              </w:rPr>
              <w:t>52,1</w:t>
            </w:r>
          </w:p>
        </w:tc>
        <w:tc>
          <w:tcPr>
            <w:tcW w:w="878" w:type="dxa"/>
          </w:tcPr>
          <w:p>
            <w:pPr>
              <w:pStyle w:val="TableParagraph"/>
              <w:spacing w:before="21"/>
              <w:ind w:left="81" w:right="3"/>
              <w:jc w:val="center"/>
              <w:rPr>
                <w:sz w:val="18"/>
              </w:rPr>
            </w:pPr>
            <w:r>
              <w:rPr>
                <w:spacing w:val="-4"/>
                <w:sz w:val="18"/>
              </w:rPr>
              <w:t>52,9</w:t>
            </w:r>
          </w:p>
        </w:tc>
        <w:tc>
          <w:tcPr>
            <w:tcW w:w="919" w:type="dxa"/>
            <w:tcBorders>
              <w:right w:val="single" w:sz="4" w:space="0" w:color="000000"/>
            </w:tcBorders>
          </w:tcPr>
          <w:p>
            <w:pPr>
              <w:pStyle w:val="TableParagraph"/>
              <w:spacing w:before="21"/>
              <w:ind w:left="72" w:right="29"/>
              <w:jc w:val="center"/>
              <w:rPr>
                <w:sz w:val="18"/>
              </w:rPr>
            </w:pPr>
            <w:r>
              <w:rPr>
                <w:spacing w:val="-4"/>
                <w:sz w:val="18"/>
              </w:rPr>
              <w:t>54,2</w:t>
            </w:r>
          </w:p>
        </w:tc>
        <w:tc>
          <w:tcPr>
            <w:tcW w:w="1275" w:type="dxa"/>
            <w:tcBorders>
              <w:left w:val="single" w:sz="4" w:space="0" w:color="000000"/>
            </w:tcBorders>
          </w:tcPr>
          <w:p>
            <w:pPr>
              <w:pStyle w:val="TableParagraph"/>
              <w:spacing w:before="7"/>
              <w:ind w:left="8" w:right="5"/>
              <w:jc w:val="center"/>
              <w:rPr>
                <w:sz w:val="20"/>
              </w:rPr>
            </w:pPr>
            <w:r>
              <w:rPr>
                <w:spacing w:val="-5"/>
                <w:sz w:val="20"/>
              </w:rPr>
              <w:t>3,0</w:t>
            </w:r>
          </w:p>
        </w:tc>
      </w:tr>
      <w:tr>
        <w:trPr>
          <w:trHeight w:val="254" w:hRule="atLeast"/>
        </w:trPr>
        <w:tc>
          <w:tcPr>
            <w:tcW w:w="3701" w:type="dxa"/>
            <w:tcBorders>
              <w:right w:val="single" w:sz="4" w:space="0" w:color="000000"/>
            </w:tcBorders>
          </w:tcPr>
          <w:p>
            <w:pPr>
              <w:pStyle w:val="TableParagraph"/>
              <w:spacing w:before="18"/>
              <w:ind w:left="530"/>
              <w:rPr>
                <w:b/>
                <w:sz w:val="18"/>
              </w:rPr>
            </w:pPr>
            <w:r>
              <w:rPr>
                <w:b/>
                <w:spacing w:val="-2"/>
                <w:sz w:val="18"/>
              </w:rPr>
              <w:t>Образовање</w:t>
            </w:r>
          </w:p>
        </w:tc>
        <w:tc>
          <w:tcPr>
            <w:tcW w:w="840" w:type="dxa"/>
            <w:tcBorders>
              <w:left w:val="single" w:sz="4" w:space="0" w:color="000000"/>
            </w:tcBorders>
          </w:tcPr>
          <w:p>
            <w:pPr>
              <w:pStyle w:val="TableParagraph"/>
              <w:rPr>
                <w:sz w:val="18"/>
              </w:rPr>
            </w:pPr>
          </w:p>
        </w:tc>
        <w:tc>
          <w:tcPr>
            <w:tcW w:w="878" w:type="dxa"/>
          </w:tcPr>
          <w:p>
            <w:pPr>
              <w:pStyle w:val="TableParagraph"/>
              <w:rPr>
                <w:sz w:val="18"/>
              </w:rPr>
            </w:pPr>
          </w:p>
        </w:tc>
        <w:tc>
          <w:tcPr>
            <w:tcW w:w="878" w:type="dxa"/>
          </w:tcPr>
          <w:p>
            <w:pPr>
              <w:pStyle w:val="TableParagraph"/>
              <w:rPr>
                <w:sz w:val="18"/>
              </w:rPr>
            </w:pPr>
          </w:p>
        </w:tc>
        <w:tc>
          <w:tcPr>
            <w:tcW w:w="878" w:type="dxa"/>
          </w:tcPr>
          <w:p>
            <w:pPr>
              <w:pStyle w:val="TableParagraph"/>
              <w:rPr>
                <w:sz w:val="18"/>
              </w:rPr>
            </w:pPr>
          </w:p>
        </w:tc>
        <w:tc>
          <w:tcPr>
            <w:tcW w:w="919" w:type="dxa"/>
            <w:tcBorders>
              <w:right w:val="single" w:sz="4" w:space="0" w:color="000000"/>
            </w:tcBorders>
          </w:tcPr>
          <w:p>
            <w:pPr>
              <w:pStyle w:val="TableParagraph"/>
              <w:rPr>
                <w:sz w:val="18"/>
              </w:rPr>
            </w:pPr>
          </w:p>
        </w:tc>
        <w:tc>
          <w:tcPr>
            <w:tcW w:w="1275" w:type="dxa"/>
            <w:tcBorders>
              <w:left w:val="single" w:sz="4" w:space="0" w:color="000000"/>
            </w:tcBorders>
          </w:tcPr>
          <w:p>
            <w:pPr>
              <w:pStyle w:val="TableParagraph"/>
              <w:rPr>
                <w:sz w:val="18"/>
              </w:rPr>
            </w:pPr>
          </w:p>
        </w:tc>
      </w:tr>
      <w:tr>
        <w:trPr>
          <w:trHeight w:val="463" w:hRule="atLeast"/>
        </w:trPr>
        <w:tc>
          <w:tcPr>
            <w:tcW w:w="3701" w:type="dxa"/>
            <w:tcBorders>
              <w:right w:val="single" w:sz="4" w:space="0" w:color="000000"/>
            </w:tcBorders>
          </w:tcPr>
          <w:p>
            <w:pPr>
              <w:pStyle w:val="TableParagraph"/>
              <w:spacing w:before="22"/>
              <w:ind w:left="122"/>
              <w:rPr>
                <w:sz w:val="18"/>
              </w:rPr>
            </w:pPr>
            <w:r>
              <w:rPr>
                <w:sz w:val="18"/>
              </w:rPr>
              <w:t>Лица без квалификација и нискоквалификовани</w:t>
            </w:r>
            <w:r>
              <w:rPr>
                <w:spacing w:val="-12"/>
                <w:sz w:val="18"/>
              </w:rPr>
              <w:t> </w:t>
            </w:r>
            <w:r>
              <w:rPr>
                <w:sz w:val="18"/>
              </w:rPr>
              <w:t>(I</w:t>
            </w:r>
            <w:r>
              <w:rPr>
                <w:spacing w:val="-11"/>
                <w:sz w:val="18"/>
              </w:rPr>
              <w:t> </w:t>
            </w:r>
            <w:r>
              <w:rPr>
                <w:sz w:val="18"/>
              </w:rPr>
              <w:t>и</w:t>
            </w:r>
            <w:r>
              <w:rPr>
                <w:spacing w:val="-11"/>
                <w:sz w:val="18"/>
              </w:rPr>
              <w:t> </w:t>
            </w:r>
            <w:r>
              <w:rPr>
                <w:sz w:val="18"/>
              </w:rPr>
              <w:t>II)</w:t>
            </w:r>
          </w:p>
        </w:tc>
        <w:tc>
          <w:tcPr>
            <w:tcW w:w="840" w:type="dxa"/>
            <w:tcBorders>
              <w:left w:val="single" w:sz="4" w:space="0" w:color="000000"/>
            </w:tcBorders>
          </w:tcPr>
          <w:p>
            <w:pPr>
              <w:pStyle w:val="TableParagraph"/>
              <w:spacing w:before="125"/>
              <w:ind w:left="72" w:right="40"/>
              <w:jc w:val="center"/>
              <w:rPr>
                <w:sz w:val="18"/>
              </w:rPr>
            </w:pPr>
            <w:r>
              <w:rPr>
                <w:spacing w:val="-4"/>
                <w:sz w:val="18"/>
              </w:rPr>
              <w:t>31,5</w:t>
            </w:r>
          </w:p>
        </w:tc>
        <w:tc>
          <w:tcPr>
            <w:tcW w:w="878" w:type="dxa"/>
          </w:tcPr>
          <w:p>
            <w:pPr>
              <w:pStyle w:val="TableParagraph"/>
              <w:spacing w:before="125"/>
              <w:ind w:left="81" w:right="5"/>
              <w:jc w:val="center"/>
              <w:rPr>
                <w:sz w:val="18"/>
              </w:rPr>
            </w:pPr>
            <w:r>
              <w:rPr>
                <w:spacing w:val="-4"/>
                <w:sz w:val="18"/>
              </w:rPr>
              <w:t>31,9</w:t>
            </w:r>
          </w:p>
        </w:tc>
        <w:tc>
          <w:tcPr>
            <w:tcW w:w="878" w:type="dxa"/>
          </w:tcPr>
          <w:p>
            <w:pPr>
              <w:pStyle w:val="TableParagraph"/>
              <w:spacing w:before="125"/>
              <w:ind w:left="81" w:right="3"/>
              <w:jc w:val="center"/>
              <w:rPr>
                <w:sz w:val="18"/>
              </w:rPr>
            </w:pPr>
            <w:r>
              <w:rPr>
                <w:spacing w:val="-4"/>
                <w:sz w:val="18"/>
              </w:rPr>
              <w:t>32,7</w:t>
            </w:r>
          </w:p>
        </w:tc>
        <w:tc>
          <w:tcPr>
            <w:tcW w:w="878" w:type="dxa"/>
          </w:tcPr>
          <w:p>
            <w:pPr>
              <w:pStyle w:val="TableParagraph"/>
              <w:spacing w:before="125"/>
              <w:ind w:left="81" w:right="3"/>
              <w:jc w:val="center"/>
              <w:rPr>
                <w:sz w:val="18"/>
              </w:rPr>
            </w:pPr>
            <w:r>
              <w:rPr>
                <w:spacing w:val="-4"/>
                <w:sz w:val="18"/>
              </w:rPr>
              <w:t>33,3</w:t>
            </w:r>
          </w:p>
        </w:tc>
        <w:tc>
          <w:tcPr>
            <w:tcW w:w="919" w:type="dxa"/>
            <w:tcBorders>
              <w:right w:val="single" w:sz="4" w:space="0" w:color="000000"/>
            </w:tcBorders>
          </w:tcPr>
          <w:p>
            <w:pPr>
              <w:pStyle w:val="TableParagraph"/>
              <w:spacing w:before="125"/>
              <w:ind w:left="72" w:right="29"/>
              <w:jc w:val="center"/>
              <w:rPr>
                <w:sz w:val="18"/>
              </w:rPr>
            </w:pPr>
            <w:r>
              <w:rPr>
                <w:spacing w:val="-4"/>
                <w:sz w:val="18"/>
              </w:rPr>
              <w:t>33,6</w:t>
            </w:r>
          </w:p>
        </w:tc>
        <w:tc>
          <w:tcPr>
            <w:tcW w:w="1275" w:type="dxa"/>
            <w:tcBorders>
              <w:left w:val="single" w:sz="4" w:space="0" w:color="000000"/>
            </w:tcBorders>
          </w:tcPr>
          <w:p>
            <w:pPr>
              <w:pStyle w:val="TableParagraph"/>
              <w:spacing w:before="111"/>
              <w:ind w:left="8" w:right="5"/>
              <w:jc w:val="center"/>
              <w:rPr>
                <w:sz w:val="20"/>
              </w:rPr>
            </w:pPr>
            <w:r>
              <w:rPr>
                <w:spacing w:val="-5"/>
                <w:sz w:val="20"/>
              </w:rPr>
              <w:t>2,1</w:t>
            </w:r>
          </w:p>
        </w:tc>
      </w:tr>
      <w:tr>
        <w:trPr>
          <w:trHeight w:val="264" w:hRule="atLeast"/>
        </w:trPr>
        <w:tc>
          <w:tcPr>
            <w:tcW w:w="3701" w:type="dxa"/>
            <w:tcBorders>
              <w:right w:val="single" w:sz="4" w:space="0" w:color="000000"/>
            </w:tcBorders>
          </w:tcPr>
          <w:p>
            <w:pPr>
              <w:pStyle w:val="TableParagraph"/>
              <w:spacing w:before="29"/>
              <w:ind w:left="122"/>
              <w:rPr>
                <w:sz w:val="18"/>
              </w:rPr>
            </w:pPr>
            <w:r>
              <w:rPr>
                <w:sz w:val="18"/>
              </w:rPr>
              <w:t>Средњи</w:t>
            </w:r>
            <w:r>
              <w:rPr>
                <w:spacing w:val="-5"/>
                <w:sz w:val="18"/>
              </w:rPr>
              <w:t> </w:t>
            </w:r>
            <w:r>
              <w:rPr>
                <w:sz w:val="18"/>
              </w:rPr>
              <w:t>ниво</w:t>
            </w:r>
            <w:r>
              <w:rPr>
                <w:spacing w:val="-1"/>
                <w:sz w:val="18"/>
              </w:rPr>
              <w:t> </w:t>
            </w:r>
            <w:r>
              <w:rPr>
                <w:sz w:val="18"/>
              </w:rPr>
              <w:t>образовања</w:t>
            </w:r>
            <w:r>
              <w:rPr>
                <w:spacing w:val="-2"/>
                <w:sz w:val="18"/>
              </w:rPr>
              <w:t> </w:t>
            </w:r>
            <w:r>
              <w:rPr>
                <w:sz w:val="18"/>
              </w:rPr>
              <w:t>(III</w:t>
            </w:r>
            <w:r>
              <w:rPr>
                <w:spacing w:val="-2"/>
                <w:sz w:val="18"/>
              </w:rPr>
              <w:t> </w:t>
            </w:r>
            <w:r>
              <w:rPr>
                <w:sz w:val="18"/>
              </w:rPr>
              <w:t>и</w:t>
            </w:r>
            <w:r>
              <w:rPr>
                <w:spacing w:val="-4"/>
                <w:sz w:val="18"/>
              </w:rPr>
              <w:t> </w:t>
            </w:r>
            <w:r>
              <w:rPr>
                <w:spacing w:val="-5"/>
                <w:sz w:val="18"/>
              </w:rPr>
              <w:t>V)</w:t>
            </w:r>
          </w:p>
        </w:tc>
        <w:tc>
          <w:tcPr>
            <w:tcW w:w="840" w:type="dxa"/>
            <w:tcBorders>
              <w:left w:val="single" w:sz="4" w:space="0" w:color="000000"/>
            </w:tcBorders>
          </w:tcPr>
          <w:p>
            <w:pPr>
              <w:pStyle w:val="TableParagraph"/>
              <w:spacing w:before="29"/>
              <w:ind w:left="72" w:right="40"/>
              <w:jc w:val="center"/>
              <w:rPr>
                <w:sz w:val="18"/>
              </w:rPr>
            </w:pPr>
            <w:r>
              <w:rPr>
                <w:spacing w:val="-4"/>
                <w:sz w:val="18"/>
              </w:rPr>
              <w:t>54,5</w:t>
            </w:r>
          </w:p>
        </w:tc>
        <w:tc>
          <w:tcPr>
            <w:tcW w:w="878" w:type="dxa"/>
          </w:tcPr>
          <w:p>
            <w:pPr>
              <w:pStyle w:val="TableParagraph"/>
              <w:spacing w:before="29"/>
              <w:ind w:left="81" w:right="5"/>
              <w:jc w:val="center"/>
              <w:rPr>
                <w:sz w:val="18"/>
              </w:rPr>
            </w:pPr>
            <w:r>
              <w:rPr>
                <w:spacing w:val="-4"/>
                <w:sz w:val="18"/>
              </w:rPr>
              <w:t>53,8</w:t>
            </w:r>
          </w:p>
        </w:tc>
        <w:tc>
          <w:tcPr>
            <w:tcW w:w="878" w:type="dxa"/>
          </w:tcPr>
          <w:p>
            <w:pPr>
              <w:pStyle w:val="TableParagraph"/>
              <w:spacing w:before="29"/>
              <w:ind w:left="81" w:right="3"/>
              <w:jc w:val="center"/>
              <w:rPr>
                <w:sz w:val="18"/>
              </w:rPr>
            </w:pPr>
            <w:r>
              <w:rPr>
                <w:spacing w:val="-4"/>
                <w:sz w:val="18"/>
              </w:rPr>
              <w:t>52,9</w:t>
            </w:r>
          </w:p>
        </w:tc>
        <w:tc>
          <w:tcPr>
            <w:tcW w:w="878" w:type="dxa"/>
          </w:tcPr>
          <w:p>
            <w:pPr>
              <w:pStyle w:val="TableParagraph"/>
              <w:spacing w:before="29"/>
              <w:ind w:left="81" w:right="3"/>
              <w:jc w:val="center"/>
              <w:rPr>
                <w:sz w:val="18"/>
              </w:rPr>
            </w:pPr>
            <w:r>
              <w:rPr>
                <w:spacing w:val="-4"/>
                <w:sz w:val="18"/>
              </w:rPr>
              <w:t>52,1</w:t>
            </w:r>
          </w:p>
        </w:tc>
        <w:tc>
          <w:tcPr>
            <w:tcW w:w="919" w:type="dxa"/>
            <w:tcBorders>
              <w:right w:val="single" w:sz="4" w:space="0" w:color="000000"/>
            </w:tcBorders>
          </w:tcPr>
          <w:p>
            <w:pPr>
              <w:pStyle w:val="TableParagraph"/>
              <w:spacing w:before="29"/>
              <w:ind w:left="72" w:right="29"/>
              <w:jc w:val="center"/>
              <w:rPr>
                <w:sz w:val="18"/>
              </w:rPr>
            </w:pPr>
            <w:r>
              <w:rPr>
                <w:spacing w:val="-4"/>
                <w:sz w:val="18"/>
              </w:rPr>
              <w:t>51,8</w:t>
            </w:r>
          </w:p>
        </w:tc>
        <w:tc>
          <w:tcPr>
            <w:tcW w:w="1275" w:type="dxa"/>
            <w:tcBorders>
              <w:left w:val="single" w:sz="4" w:space="0" w:color="000000"/>
            </w:tcBorders>
          </w:tcPr>
          <w:p>
            <w:pPr>
              <w:pStyle w:val="TableParagraph"/>
              <w:spacing w:line="227" w:lineRule="exact" w:before="18"/>
              <w:ind w:left="5" w:right="5"/>
              <w:jc w:val="center"/>
              <w:rPr>
                <w:sz w:val="20"/>
              </w:rPr>
            </w:pPr>
            <w:r>
              <w:rPr>
                <w:spacing w:val="-4"/>
                <w:sz w:val="20"/>
              </w:rPr>
              <w:t>-</w:t>
            </w:r>
            <w:r>
              <w:rPr>
                <w:spacing w:val="-5"/>
                <w:sz w:val="20"/>
              </w:rPr>
              <w:t>2,7</w:t>
            </w:r>
          </w:p>
        </w:tc>
      </w:tr>
      <w:tr>
        <w:trPr>
          <w:trHeight w:val="262" w:hRule="atLeast"/>
        </w:trPr>
        <w:tc>
          <w:tcPr>
            <w:tcW w:w="3701" w:type="dxa"/>
            <w:tcBorders>
              <w:right w:val="single" w:sz="4" w:space="0" w:color="000000"/>
            </w:tcBorders>
          </w:tcPr>
          <w:p>
            <w:pPr>
              <w:pStyle w:val="TableParagraph"/>
              <w:spacing w:before="21"/>
              <w:ind w:left="122"/>
              <w:rPr>
                <w:sz w:val="18"/>
              </w:rPr>
            </w:pPr>
            <w:r>
              <w:rPr>
                <w:sz w:val="18"/>
              </w:rPr>
              <w:t>Више</w:t>
            </w:r>
            <w:r>
              <w:rPr>
                <w:spacing w:val="-2"/>
                <w:sz w:val="18"/>
              </w:rPr>
              <w:t> </w:t>
            </w:r>
            <w:r>
              <w:rPr>
                <w:sz w:val="18"/>
              </w:rPr>
              <w:t>и</w:t>
            </w:r>
            <w:r>
              <w:rPr>
                <w:spacing w:val="-2"/>
                <w:sz w:val="18"/>
              </w:rPr>
              <w:t> </w:t>
            </w:r>
            <w:r>
              <w:rPr>
                <w:sz w:val="18"/>
              </w:rPr>
              <w:t>високо</w:t>
            </w:r>
            <w:r>
              <w:rPr>
                <w:spacing w:val="-1"/>
                <w:sz w:val="18"/>
              </w:rPr>
              <w:t> </w:t>
            </w:r>
            <w:r>
              <w:rPr>
                <w:sz w:val="18"/>
              </w:rPr>
              <w:t>образовање</w:t>
            </w:r>
            <w:r>
              <w:rPr>
                <w:spacing w:val="-2"/>
                <w:sz w:val="18"/>
              </w:rPr>
              <w:t> </w:t>
            </w:r>
            <w:r>
              <w:rPr>
                <w:sz w:val="18"/>
              </w:rPr>
              <w:t>(VI-</w:t>
            </w:r>
            <w:r>
              <w:rPr>
                <w:spacing w:val="-2"/>
                <w:sz w:val="18"/>
              </w:rPr>
              <w:t>VIII)</w:t>
            </w:r>
          </w:p>
        </w:tc>
        <w:tc>
          <w:tcPr>
            <w:tcW w:w="840" w:type="dxa"/>
            <w:tcBorders>
              <w:left w:val="single" w:sz="4" w:space="0" w:color="000000"/>
            </w:tcBorders>
          </w:tcPr>
          <w:p>
            <w:pPr>
              <w:pStyle w:val="TableParagraph"/>
              <w:spacing w:before="21"/>
              <w:ind w:left="72" w:right="40"/>
              <w:jc w:val="center"/>
              <w:rPr>
                <w:sz w:val="18"/>
              </w:rPr>
            </w:pPr>
            <w:r>
              <w:rPr>
                <w:spacing w:val="-4"/>
                <w:sz w:val="18"/>
              </w:rPr>
              <w:t>14,0</w:t>
            </w:r>
          </w:p>
        </w:tc>
        <w:tc>
          <w:tcPr>
            <w:tcW w:w="878" w:type="dxa"/>
          </w:tcPr>
          <w:p>
            <w:pPr>
              <w:pStyle w:val="TableParagraph"/>
              <w:spacing w:before="21"/>
              <w:ind w:left="81" w:right="5"/>
              <w:jc w:val="center"/>
              <w:rPr>
                <w:sz w:val="18"/>
              </w:rPr>
            </w:pPr>
            <w:r>
              <w:rPr>
                <w:spacing w:val="-4"/>
                <w:sz w:val="18"/>
              </w:rPr>
              <w:t>14,3</w:t>
            </w:r>
          </w:p>
        </w:tc>
        <w:tc>
          <w:tcPr>
            <w:tcW w:w="878" w:type="dxa"/>
          </w:tcPr>
          <w:p>
            <w:pPr>
              <w:pStyle w:val="TableParagraph"/>
              <w:spacing w:before="21"/>
              <w:ind w:left="81" w:right="3"/>
              <w:jc w:val="center"/>
              <w:rPr>
                <w:sz w:val="18"/>
              </w:rPr>
            </w:pPr>
            <w:r>
              <w:rPr>
                <w:spacing w:val="-4"/>
                <w:sz w:val="18"/>
              </w:rPr>
              <w:t>14,4</w:t>
            </w:r>
          </w:p>
        </w:tc>
        <w:tc>
          <w:tcPr>
            <w:tcW w:w="878" w:type="dxa"/>
          </w:tcPr>
          <w:p>
            <w:pPr>
              <w:pStyle w:val="TableParagraph"/>
              <w:spacing w:before="21"/>
              <w:ind w:left="81" w:right="3"/>
              <w:jc w:val="center"/>
              <w:rPr>
                <w:sz w:val="18"/>
              </w:rPr>
            </w:pPr>
            <w:r>
              <w:rPr>
                <w:spacing w:val="-4"/>
                <w:sz w:val="18"/>
              </w:rPr>
              <w:t>14,6</w:t>
            </w:r>
          </w:p>
        </w:tc>
        <w:tc>
          <w:tcPr>
            <w:tcW w:w="919" w:type="dxa"/>
            <w:tcBorders>
              <w:right w:val="single" w:sz="4" w:space="0" w:color="000000"/>
            </w:tcBorders>
          </w:tcPr>
          <w:p>
            <w:pPr>
              <w:pStyle w:val="TableParagraph"/>
              <w:spacing w:before="21"/>
              <w:ind w:left="72" w:right="29"/>
              <w:jc w:val="center"/>
              <w:rPr>
                <w:sz w:val="18"/>
              </w:rPr>
            </w:pPr>
            <w:r>
              <w:rPr>
                <w:spacing w:val="-4"/>
                <w:sz w:val="18"/>
              </w:rPr>
              <w:t>14,6</w:t>
            </w:r>
          </w:p>
        </w:tc>
        <w:tc>
          <w:tcPr>
            <w:tcW w:w="1275" w:type="dxa"/>
            <w:tcBorders>
              <w:left w:val="single" w:sz="4" w:space="0" w:color="000000"/>
            </w:tcBorders>
          </w:tcPr>
          <w:p>
            <w:pPr>
              <w:pStyle w:val="TableParagraph"/>
              <w:spacing w:before="7"/>
              <w:ind w:left="8" w:right="5"/>
              <w:jc w:val="center"/>
              <w:rPr>
                <w:sz w:val="20"/>
              </w:rPr>
            </w:pPr>
            <w:r>
              <w:rPr>
                <w:spacing w:val="-5"/>
                <w:sz w:val="20"/>
              </w:rPr>
              <w:t>0,6</w:t>
            </w:r>
          </w:p>
        </w:tc>
      </w:tr>
      <w:tr>
        <w:trPr>
          <w:trHeight w:val="249" w:hRule="atLeast"/>
        </w:trPr>
        <w:tc>
          <w:tcPr>
            <w:tcW w:w="3701" w:type="dxa"/>
            <w:tcBorders>
              <w:right w:val="single" w:sz="4" w:space="0" w:color="000000"/>
            </w:tcBorders>
          </w:tcPr>
          <w:p>
            <w:pPr>
              <w:pStyle w:val="TableParagraph"/>
              <w:spacing w:before="18"/>
              <w:ind w:left="530"/>
              <w:rPr>
                <w:b/>
                <w:sz w:val="18"/>
              </w:rPr>
            </w:pPr>
            <w:r>
              <w:rPr>
                <w:b/>
                <w:spacing w:val="-2"/>
                <w:sz w:val="18"/>
              </w:rPr>
              <w:t>Старост</w:t>
            </w:r>
          </w:p>
        </w:tc>
        <w:tc>
          <w:tcPr>
            <w:tcW w:w="840" w:type="dxa"/>
            <w:tcBorders>
              <w:left w:val="single" w:sz="4" w:space="0" w:color="000000"/>
            </w:tcBorders>
          </w:tcPr>
          <w:p>
            <w:pPr>
              <w:pStyle w:val="TableParagraph"/>
              <w:rPr>
                <w:sz w:val="18"/>
              </w:rPr>
            </w:pPr>
          </w:p>
        </w:tc>
        <w:tc>
          <w:tcPr>
            <w:tcW w:w="878" w:type="dxa"/>
          </w:tcPr>
          <w:p>
            <w:pPr>
              <w:pStyle w:val="TableParagraph"/>
              <w:rPr>
                <w:sz w:val="18"/>
              </w:rPr>
            </w:pPr>
          </w:p>
        </w:tc>
        <w:tc>
          <w:tcPr>
            <w:tcW w:w="878" w:type="dxa"/>
          </w:tcPr>
          <w:p>
            <w:pPr>
              <w:pStyle w:val="TableParagraph"/>
              <w:rPr>
                <w:sz w:val="18"/>
              </w:rPr>
            </w:pPr>
          </w:p>
        </w:tc>
        <w:tc>
          <w:tcPr>
            <w:tcW w:w="878" w:type="dxa"/>
          </w:tcPr>
          <w:p>
            <w:pPr>
              <w:pStyle w:val="TableParagraph"/>
              <w:rPr>
                <w:sz w:val="18"/>
              </w:rPr>
            </w:pPr>
          </w:p>
        </w:tc>
        <w:tc>
          <w:tcPr>
            <w:tcW w:w="919" w:type="dxa"/>
            <w:tcBorders>
              <w:right w:val="single" w:sz="4" w:space="0" w:color="000000"/>
            </w:tcBorders>
          </w:tcPr>
          <w:p>
            <w:pPr>
              <w:pStyle w:val="TableParagraph"/>
              <w:rPr>
                <w:sz w:val="18"/>
              </w:rPr>
            </w:pPr>
          </w:p>
        </w:tc>
        <w:tc>
          <w:tcPr>
            <w:tcW w:w="1275" w:type="dxa"/>
            <w:tcBorders>
              <w:left w:val="single" w:sz="4" w:space="0" w:color="000000"/>
            </w:tcBorders>
          </w:tcPr>
          <w:p>
            <w:pPr>
              <w:pStyle w:val="TableParagraph"/>
              <w:rPr>
                <w:sz w:val="18"/>
              </w:rPr>
            </w:pPr>
          </w:p>
        </w:tc>
      </w:tr>
      <w:tr>
        <w:trPr>
          <w:trHeight w:val="251" w:hRule="atLeast"/>
        </w:trPr>
        <w:tc>
          <w:tcPr>
            <w:tcW w:w="3701" w:type="dxa"/>
            <w:tcBorders>
              <w:right w:val="single" w:sz="4" w:space="0" w:color="000000"/>
            </w:tcBorders>
          </w:tcPr>
          <w:p>
            <w:pPr>
              <w:pStyle w:val="TableParagraph"/>
              <w:spacing w:before="17"/>
              <w:ind w:left="122"/>
              <w:rPr>
                <w:sz w:val="18"/>
              </w:rPr>
            </w:pPr>
            <w:r>
              <w:rPr>
                <w:sz w:val="18"/>
              </w:rPr>
              <w:t>Млади,</w:t>
            </w:r>
            <w:r>
              <w:rPr>
                <w:spacing w:val="-2"/>
                <w:sz w:val="18"/>
              </w:rPr>
              <w:t> </w:t>
            </w:r>
            <w:r>
              <w:rPr>
                <w:sz w:val="18"/>
              </w:rPr>
              <w:t>15-</w:t>
            </w:r>
            <w:r>
              <w:rPr>
                <w:spacing w:val="-5"/>
                <w:sz w:val="18"/>
              </w:rPr>
              <w:t>29</w:t>
            </w:r>
          </w:p>
        </w:tc>
        <w:tc>
          <w:tcPr>
            <w:tcW w:w="840" w:type="dxa"/>
            <w:tcBorders>
              <w:left w:val="single" w:sz="4" w:space="0" w:color="000000"/>
            </w:tcBorders>
          </w:tcPr>
          <w:p>
            <w:pPr>
              <w:pStyle w:val="TableParagraph"/>
              <w:spacing w:before="17"/>
              <w:ind w:left="72" w:right="40"/>
              <w:jc w:val="center"/>
              <w:rPr>
                <w:sz w:val="18"/>
              </w:rPr>
            </w:pPr>
            <w:r>
              <w:rPr>
                <w:spacing w:val="-4"/>
                <w:sz w:val="18"/>
              </w:rPr>
              <w:t>25,6</w:t>
            </w:r>
          </w:p>
        </w:tc>
        <w:tc>
          <w:tcPr>
            <w:tcW w:w="878" w:type="dxa"/>
          </w:tcPr>
          <w:p>
            <w:pPr>
              <w:pStyle w:val="TableParagraph"/>
              <w:spacing w:before="17"/>
              <w:ind w:left="81" w:right="5"/>
              <w:jc w:val="center"/>
              <w:rPr>
                <w:sz w:val="18"/>
              </w:rPr>
            </w:pPr>
            <w:r>
              <w:rPr>
                <w:spacing w:val="-4"/>
                <w:sz w:val="18"/>
              </w:rPr>
              <w:t>24,6</w:t>
            </w:r>
          </w:p>
        </w:tc>
        <w:tc>
          <w:tcPr>
            <w:tcW w:w="878" w:type="dxa"/>
          </w:tcPr>
          <w:p>
            <w:pPr>
              <w:pStyle w:val="TableParagraph"/>
              <w:spacing w:before="17"/>
              <w:ind w:left="81" w:right="3"/>
              <w:jc w:val="center"/>
              <w:rPr>
                <w:sz w:val="18"/>
              </w:rPr>
            </w:pPr>
            <w:r>
              <w:rPr>
                <w:spacing w:val="-4"/>
                <w:sz w:val="18"/>
              </w:rPr>
              <w:t>23,0</w:t>
            </w:r>
          </w:p>
        </w:tc>
        <w:tc>
          <w:tcPr>
            <w:tcW w:w="878" w:type="dxa"/>
          </w:tcPr>
          <w:p>
            <w:pPr>
              <w:pStyle w:val="TableParagraph"/>
              <w:spacing w:before="17"/>
              <w:ind w:left="81" w:right="3"/>
              <w:jc w:val="center"/>
              <w:rPr>
                <w:sz w:val="18"/>
              </w:rPr>
            </w:pPr>
            <w:r>
              <w:rPr>
                <w:spacing w:val="-4"/>
                <w:sz w:val="18"/>
              </w:rPr>
              <w:t>21,6</w:t>
            </w:r>
          </w:p>
        </w:tc>
        <w:tc>
          <w:tcPr>
            <w:tcW w:w="919" w:type="dxa"/>
            <w:tcBorders>
              <w:right w:val="single" w:sz="4" w:space="0" w:color="000000"/>
            </w:tcBorders>
          </w:tcPr>
          <w:p>
            <w:pPr>
              <w:pStyle w:val="TableParagraph"/>
              <w:spacing w:before="17"/>
              <w:ind w:left="72" w:right="29"/>
              <w:jc w:val="center"/>
              <w:rPr>
                <w:sz w:val="18"/>
              </w:rPr>
            </w:pPr>
            <w:r>
              <w:rPr>
                <w:spacing w:val="-4"/>
                <w:sz w:val="18"/>
              </w:rPr>
              <w:t>20,7</w:t>
            </w:r>
          </w:p>
        </w:tc>
        <w:tc>
          <w:tcPr>
            <w:tcW w:w="1275" w:type="dxa"/>
            <w:tcBorders>
              <w:left w:val="single" w:sz="4" w:space="0" w:color="000000"/>
            </w:tcBorders>
          </w:tcPr>
          <w:p>
            <w:pPr>
              <w:pStyle w:val="TableParagraph"/>
              <w:spacing w:line="228" w:lineRule="exact" w:before="3"/>
              <w:ind w:left="5" w:right="5"/>
              <w:jc w:val="center"/>
              <w:rPr>
                <w:sz w:val="20"/>
              </w:rPr>
            </w:pPr>
            <w:r>
              <w:rPr>
                <w:spacing w:val="-4"/>
                <w:sz w:val="20"/>
              </w:rPr>
              <w:t>-</w:t>
            </w:r>
            <w:r>
              <w:rPr>
                <w:spacing w:val="-5"/>
                <w:sz w:val="20"/>
              </w:rPr>
              <w:t>4,9</w:t>
            </w:r>
          </w:p>
        </w:tc>
      </w:tr>
      <w:tr>
        <w:trPr>
          <w:trHeight w:val="255" w:hRule="atLeast"/>
        </w:trPr>
        <w:tc>
          <w:tcPr>
            <w:tcW w:w="3701" w:type="dxa"/>
            <w:tcBorders>
              <w:right w:val="single" w:sz="4" w:space="0" w:color="000000"/>
            </w:tcBorders>
          </w:tcPr>
          <w:p>
            <w:pPr>
              <w:pStyle w:val="TableParagraph"/>
              <w:spacing w:before="20"/>
              <w:ind w:left="122"/>
              <w:rPr>
                <w:sz w:val="18"/>
              </w:rPr>
            </w:pPr>
            <w:r>
              <w:rPr>
                <w:spacing w:val="-2"/>
                <w:sz w:val="18"/>
              </w:rPr>
              <w:t>30-</w:t>
            </w:r>
            <w:r>
              <w:rPr>
                <w:spacing w:val="-7"/>
                <w:sz w:val="18"/>
              </w:rPr>
              <w:t>49</w:t>
            </w:r>
          </w:p>
        </w:tc>
        <w:tc>
          <w:tcPr>
            <w:tcW w:w="840" w:type="dxa"/>
            <w:tcBorders>
              <w:left w:val="single" w:sz="4" w:space="0" w:color="000000"/>
            </w:tcBorders>
          </w:tcPr>
          <w:p>
            <w:pPr>
              <w:pStyle w:val="TableParagraph"/>
              <w:spacing w:before="20"/>
              <w:ind w:left="72" w:right="40"/>
              <w:jc w:val="center"/>
              <w:rPr>
                <w:sz w:val="18"/>
              </w:rPr>
            </w:pPr>
            <w:r>
              <w:rPr>
                <w:spacing w:val="-4"/>
                <w:sz w:val="18"/>
              </w:rPr>
              <w:t>47,6</w:t>
            </w:r>
          </w:p>
        </w:tc>
        <w:tc>
          <w:tcPr>
            <w:tcW w:w="878" w:type="dxa"/>
          </w:tcPr>
          <w:p>
            <w:pPr>
              <w:pStyle w:val="TableParagraph"/>
              <w:spacing w:before="20"/>
              <w:ind w:left="81" w:right="5"/>
              <w:jc w:val="center"/>
              <w:rPr>
                <w:sz w:val="18"/>
              </w:rPr>
            </w:pPr>
            <w:r>
              <w:rPr>
                <w:spacing w:val="-4"/>
                <w:sz w:val="18"/>
              </w:rPr>
              <w:t>47,1</w:t>
            </w:r>
          </w:p>
        </w:tc>
        <w:tc>
          <w:tcPr>
            <w:tcW w:w="878" w:type="dxa"/>
          </w:tcPr>
          <w:p>
            <w:pPr>
              <w:pStyle w:val="TableParagraph"/>
              <w:spacing w:before="20"/>
              <w:ind w:left="81" w:right="3"/>
              <w:jc w:val="center"/>
              <w:rPr>
                <w:sz w:val="18"/>
              </w:rPr>
            </w:pPr>
            <w:r>
              <w:rPr>
                <w:spacing w:val="-4"/>
                <w:sz w:val="18"/>
              </w:rPr>
              <w:t>46,8</w:t>
            </w:r>
          </w:p>
        </w:tc>
        <w:tc>
          <w:tcPr>
            <w:tcW w:w="878" w:type="dxa"/>
          </w:tcPr>
          <w:p>
            <w:pPr>
              <w:pStyle w:val="TableParagraph"/>
              <w:spacing w:before="20"/>
              <w:ind w:left="81" w:right="3"/>
              <w:jc w:val="center"/>
              <w:rPr>
                <w:sz w:val="18"/>
              </w:rPr>
            </w:pPr>
            <w:r>
              <w:rPr>
                <w:spacing w:val="-4"/>
                <w:sz w:val="18"/>
              </w:rPr>
              <w:t>46,3</w:t>
            </w:r>
          </w:p>
        </w:tc>
        <w:tc>
          <w:tcPr>
            <w:tcW w:w="919" w:type="dxa"/>
            <w:tcBorders>
              <w:right w:val="single" w:sz="4" w:space="0" w:color="000000"/>
            </w:tcBorders>
          </w:tcPr>
          <w:p>
            <w:pPr>
              <w:pStyle w:val="TableParagraph"/>
              <w:spacing w:before="20"/>
              <w:ind w:left="72" w:right="29"/>
              <w:jc w:val="center"/>
              <w:rPr>
                <w:sz w:val="18"/>
              </w:rPr>
            </w:pPr>
            <w:r>
              <w:rPr>
                <w:spacing w:val="-4"/>
                <w:sz w:val="18"/>
              </w:rPr>
              <w:t>45,7</w:t>
            </w:r>
          </w:p>
        </w:tc>
        <w:tc>
          <w:tcPr>
            <w:tcW w:w="1275" w:type="dxa"/>
            <w:tcBorders>
              <w:left w:val="single" w:sz="4" w:space="0" w:color="000000"/>
            </w:tcBorders>
          </w:tcPr>
          <w:p>
            <w:pPr>
              <w:pStyle w:val="TableParagraph"/>
              <w:spacing w:line="227" w:lineRule="exact" w:before="9"/>
              <w:ind w:left="5" w:right="5"/>
              <w:jc w:val="center"/>
              <w:rPr>
                <w:sz w:val="20"/>
              </w:rPr>
            </w:pPr>
            <w:r>
              <w:rPr>
                <w:spacing w:val="-4"/>
                <w:sz w:val="20"/>
              </w:rPr>
              <w:t>-</w:t>
            </w:r>
            <w:r>
              <w:rPr>
                <w:spacing w:val="-5"/>
                <w:sz w:val="20"/>
              </w:rPr>
              <w:t>1,9</w:t>
            </w:r>
          </w:p>
        </w:tc>
      </w:tr>
      <w:tr>
        <w:trPr>
          <w:trHeight w:val="262" w:hRule="atLeast"/>
        </w:trPr>
        <w:tc>
          <w:tcPr>
            <w:tcW w:w="3701" w:type="dxa"/>
            <w:tcBorders>
              <w:right w:val="single" w:sz="4" w:space="0" w:color="000000"/>
            </w:tcBorders>
          </w:tcPr>
          <w:p>
            <w:pPr>
              <w:pStyle w:val="TableParagraph"/>
              <w:spacing w:before="21"/>
              <w:ind w:left="122"/>
              <w:rPr>
                <w:sz w:val="18"/>
              </w:rPr>
            </w:pPr>
            <w:r>
              <w:rPr>
                <w:sz w:val="18"/>
              </w:rPr>
              <w:t>Старији,</w:t>
            </w:r>
            <w:r>
              <w:rPr>
                <w:spacing w:val="-3"/>
                <w:sz w:val="18"/>
              </w:rPr>
              <w:t> </w:t>
            </w:r>
            <w:r>
              <w:rPr>
                <w:sz w:val="18"/>
              </w:rPr>
              <w:t>50 и</w:t>
            </w:r>
            <w:r>
              <w:rPr>
                <w:spacing w:val="-1"/>
                <w:sz w:val="18"/>
              </w:rPr>
              <w:t> </w:t>
            </w:r>
            <w:r>
              <w:rPr>
                <w:spacing w:val="-4"/>
                <w:sz w:val="18"/>
              </w:rPr>
              <w:t>више</w:t>
            </w:r>
          </w:p>
        </w:tc>
        <w:tc>
          <w:tcPr>
            <w:tcW w:w="840" w:type="dxa"/>
            <w:tcBorders>
              <w:left w:val="single" w:sz="4" w:space="0" w:color="000000"/>
            </w:tcBorders>
          </w:tcPr>
          <w:p>
            <w:pPr>
              <w:pStyle w:val="TableParagraph"/>
              <w:spacing w:before="21"/>
              <w:ind w:left="72" w:right="40"/>
              <w:jc w:val="center"/>
              <w:rPr>
                <w:sz w:val="18"/>
              </w:rPr>
            </w:pPr>
            <w:r>
              <w:rPr>
                <w:spacing w:val="-4"/>
                <w:sz w:val="18"/>
              </w:rPr>
              <w:t>26,8</w:t>
            </w:r>
          </w:p>
        </w:tc>
        <w:tc>
          <w:tcPr>
            <w:tcW w:w="878" w:type="dxa"/>
          </w:tcPr>
          <w:p>
            <w:pPr>
              <w:pStyle w:val="TableParagraph"/>
              <w:spacing w:before="21"/>
              <w:ind w:left="81" w:right="5"/>
              <w:jc w:val="center"/>
              <w:rPr>
                <w:sz w:val="18"/>
              </w:rPr>
            </w:pPr>
            <w:r>
              <w:rPr>
                <w:spacing w:val="-4"/>
                <w:sz w:val="18"/>
              </w:rPr>
              <w:t>28,3</w:t>
            </w:r>
          </w:p>
        </w:tc>
        <w:tc>
          <w:tcPr>
            <w:tcW w:w="878" w:type="dxa"/>
          </w:tcPr>
          <w:p>
            <w:pPr>
              <w:pStyle w:val="TableParagraph"/>
              <w:spacing w:before="21"/>
              <w:ind w:left="81" w:right="3"/>
              <w:jc w:val="center"/>
              <w:rPr>
                <w:sz w:val="18"/>
              </w:rPr>
            </w:pPr>
            <w:r>
              <w:rPr>
                <w:spacing w:val="-4"/>
                <w:sz w:val="18"/>
              </w:rPr>
              <w:t>30,2</w:t>
            </w:r>
          </w:p>
        </w:tc>
        <w:tc>
          <w:tcPr>
            <w:tcW w:w="878" w:type="dxa"/>
          </w:tcPr>
          <w:p>
            <w:pPr>
              <w:pStyle w:val="TableParagraph"/>
              <w:spacing w:before="21"/>
              <w:ind w:left="81" w:right="3"/>
              <w:jc w:val="center"/>
              <w:rPr>
                <w:sz w:val="18"/>
              </w:rPr>
            </w:pPr>
            <w:r>
              <w:rPr>
                <w:spacing w:val="-4"/>
                <w:sz w:val="18"/>
              </w:rPr>
              <w:t>32,1</w:t>
            </w:r>
          </w:p>
        </w:tc>
        <w:tc>
          <w:tcPr>
            <w:tcW w:w="919" w:type="dxa"/>
            <w:tcBorders>
              <w:right w:val="single" w:sz="4" w:space="0" w:color="000000"/>
            </w:tcBorders>
          </w:tcPr>
          <w:p>
            <w:pPr>
              <w:pStyle w:val="TableParagraph"/>
              <w:spacing w:before="21"/>
              <w:ind w:left="72" w:right="29"/>
              <w:jc w:val="center"/>
              <w:rPr>
                <w:sz w:val="18"/>
              </w:rPr>
            </w:pPr>
            <w:r>
              <w:rPr>
                <w:spacing w:val="-4"/>
                <w:sz w:val="18"/>
              </w:rPr>
              <w:t>33,6</w:t>
            </w:r>
          </w:p>
        </w:tc>
        <w:tc>
          <w:tcPr>
            <w:tcW w:w="1275" w:type="dxa"/>
            <w:tcBorders>
              <w:left w:val="single" w:sz="4" w:space="0" w:color="000000"/>
            </w:tcBorders>
          </w:tcPr>
          <w:p>
            <w:pPr>
              <w:pStyle w:val="TableParagraph"/>
              <w:spacing w:before="7"/>
              <w:ind w:left="8" w:right="5"/>
              <w:jc w:val="center"/>
              <w:rPr>
                <w:sz w:val="20"/>
              </w:rPr>
            </w:pPr>
            <w:r>
              <w:rPr>
                <w:spacing w:val="-5"/>
                <w:sz w:val="20"/>
              </w:rPr>
              <w:t>6,8</w:t>
            </w:r>
          </w:p>
        </w:tc>
      </w:tr>
      <w:tr>
        <w:trPr>
          <w:trHeight w:val="250" w:hRule="atLeast"/>
        </w:trPr>
        <w:tc>
          <w:tcPr>
            <w:tcW w:w="3701" w:type="dxa"/>
            <w:tcBorders>
              <w:right w:val="single" w:sz="4" w:space="0" w:color="000000"/>
            </w:tcBorders>
          </w:tcPr>
          <w:p>
            <w:pPr>
              <w:pStyle w:val="TableParagraph"/>
              <w:spacing w:before="18"/>
              <w:ind w:left="527"/>
              <w:rPr>
                <w:b/>
                <w:sz w:val="18"/>
              </w:rPr>
            </w:pPr>
            <w:r>
              <w:rPr>
                <w:b/>
                <w:sz w:val="18"/>
              </w:rPr>
              <w:t>Дужина</w:t>
            </w:r>
            <w:r>
              <w:rPr>
                <w:b/>
                <w:spacing w:val="-5"/>
                <w:sz w:val="18"/>
              </w:rPr>
              <w:t> </w:t>
            </w:r>
            <w:r>
              <w:rPr>
                <w:b/>
                <w:sz w:val="18"/>
              </w:rPr>
              <w:t>тражења</w:t>
            </w:r>
            <w:r>
              <w:rPr>
                <w:b/>
                <w:spacing w:val="-4"/>
                <w:sz w:val="18"/>
              </w:rPr>
              <w:t> </w:t>
            </w:r>
            <w:r>
              <w:rPr>
                <w:b/>
                <w:spacing w:val="-2"/>
                <w:sz w:val="18"/>
              </w:rPr>
              <w:t>посла</w:t>
            </w:r>
          </w:p>
        </w:tc>
        <w:tc>
          <w:tcPr>
            <w:tcW w:w="840" w:type="dxa"/>
            <w:tcBorders>
              <w:left w:val="single" w:sz="4" w:space="0" w:color="000000"/>
            </w:tcBorders>
          </w:tcPr>
          <w:p>
            <w:pPr>
              <w:pStyle w:val="TableParagraph"/>
              <w:rPr>
                <w:sz w:val="18"/>
              </w:rPr>
            </w:pPr>
          </w:p>
        </w:tc>
        <w:tc>
          <w:tcPr>
            <w:tcW w:w="878" w:type="dxa"/>
          </w:tcPr>
          <w:p>
            <w:pPr>
              <w:pStyle w:val="TableParagraph"/>
              <w:rPr>
                <w:sz w:val="18"/>
              </w:rPr>
            </w:pPr>
          </w:p>
        </w:tc>
        <w:tc>
          <w:tcPr>
            <w:tcW w:w="878" w:type="dxa"/>
          </w:tcPr>
          <w:p>
            <w:pPr>
              <w:pStyle w:val="TableParagraph"/>
              <w:rPr>
                <w:sz w:val="18"/>
              </w:rPr>
            </w:pPr>
          </w:p>
        </w:tc>
        <w:tc>
          <w:tcPr>
            <w:tcW w:w="878" w:type="dxa"/>
          </w:tcPr>
          <w:p>
            <w:pPr>
              <w:pStyle w:val="TableParagraph"/>
              <w:rPr>
                <w:sz w:val="18"/>
              </w:rPr>
            </w:pPr>
          </w:p>
        </w:tc>
        <w:tc>
          <w:tcPr>
            <w:tcW w:w="919" w:type="dxa"/>
            <w:tcBorders>
              <w:right w:val="single" w:sz="4" w:space="0" w:color="000000"/>
            </w:tcBorders>
          </w:tcPr>
          <w:p>
            <w:pPr>
              <w:pStyle w:val="TableParagraph"/>
              <w:rPr>
                <w:sz w:val="18"/>
              </w:rPr>
            </w:pPr>
          </w:p>
        </w:tc>
        <w:tc>
          <w:tcPr>
            <w:tcW w:w="1275" w:type="dxa"/>
            <w:tcBorders>
              <w:left w:val="single" w:sz="4" w:space="0" w:color="000000"/>
            </w:tcBorders>
          </w:tcPr>
          <w:p>
            <w:pPr>
              <w:pStyle w:val="TableParagraph"/>
              <w:rPr>
                <w:sz w:val="18"/>
              </w:rPr>
            </w:pPr>
          </w:p>
        </w:tc>
      </w:tr>
      <w:tr>
        <w:trPr>
          <w:trHeight w:val="247" w:hRule="atLeast"/>
        </w:trPr>
        <w:tc>
          <w:tcPr>
            <w:tcW w:w="3701" w:type="dxa"/>
            <w:tcBorders>
              <w:right w:val="single" w:sz="4" w:space="0" w:color="000000"/>
            </w:tcBorders>
          </w:tcPr>
          <w:p>
            <w:pPr>
              <w:pStyle w:val="TableParagraph"/>
              <w:spacing w:before="17"/>
              <w:ind w:left="122"/>
              <w:rPr>
                <w:sz w:val="18"/>
              </w:rPr>
            </w:pPr>
            <w:r>
              <w:rPr>
                <w:sz w:val="18"/>
              </w:rPr>
              <w:t>До</w:t>
            </w:r>
            <w:r>
              <w:rPr>
                <w:spacing w:val="-2"/>
                <w:sz w:val="18"/>
              </w:rPr>
              <w:t> </w:t>
            </w:r>
            <w:r>
              <w:rPr>
                <w:sz w:val="18"/>
              </w:rPr>
              <w:t>годину</w:t>
            </w:r>
            <w:r>
              <w:rPr>
                <w:spacing w:val="-4"/>
                <w:sz w:val="18"/>
              </w:rPr>
              <w:t> дана</w:t>
            </w:r>
          </w:p>
        </w:tc>
        <w:tc>
          <w:tcPr>
            <w:tcW w:w="840" w:type="dxa"/>
            <w:tcBorders>
              <w:left w:val="single" w:sz="4" w:space="0" w:color="000000"/>
            </w:tcBorders>
          </w:tcPr>
          <w:p>
            <w:pPr>
              <w:pStyle w:val="TableParagraph"/>
              <w:spacing w:before="17"/>
              <w:ind w:left="72" w:right="40"/>
              <w:jc w:val="center"/>
              <w:rPr>
                <w:sz w:val="18"/>
              </w:rPr>
            </w:pPr>
            <w:r>
              <w:rPr>
                <w:spacing w:val="-4"/>
                <w:sz w:val="18"/>
              </w:rPr>
              <w:t>32,8</w:t>
            </w:r>
          </w:p>
        </w:tc>
        <w:tc>
          <w:tcPr>
            <w:tcW w:w="878" w:type="dxa"/>
          </w:tcPr>
          <w:p>
            <w:pPr>
              <w:pStyle w:val="TableParagraph"/>
              <w:spacing w:before="17"/>
              <w:ind w:left="81" w:right="5"/>
              <w:jc w:val="center"/>
              <w:rPr>
                <w:sz w:val="18"/>
              </w:rPr>
            </w:pPr>
            <w:r>
              <w:rPr>
                <w:spacing w:val="-4"/>
                <w:sz w:val="18"/>
              </w:rPr>
              <w:t>32,6</w:t>
            </w:r>
          </w:p>
        </w:tc>
        <w:tc>
          <w:tcPr>
            <w:tcW w:w="878" w:type="dxa"/>
          </w:tcPr>
          <w:p>
            <w:pPr>
              <w:pStyle w:val="TableParagraph"/>
              <w:spacing w:before="17"/>
              <w:ind w:left="81" w:right="3"/>
              <w:jc w:val="center"/>
              <w:rPr>
                <w:sz w:val="18"/>
              </w:rPr>
            </w:pPr>
            <w:r>
              <w:rPr>
                <w:spacing w:val="-4"/>
                <w:sz w:val="18"/>
              </w:rPr>
              <w:t>31,3</w:t>
            </w:r>
          </w:p>
        </w:tc>
        <w:tc>
          <w:tcPr>
            <w:tcW w:w="878" w:type="dxa"/>
          </w:tcPr>
          <w:p>
            <w:pPr>
              <w:pStyle w:val="TableParagraph"/>
              <w:spacing w:before="17"/>
              <w:ind w:left="81" w:right="3"/>
              <w:jc w:val="center"/>
              <w:rPr>
                <w:sz w:val="18"/>
              </w:rPr>
            </w:pPr>
            <w:r>
              <w:rPr>
                <w:spacing w:val="-4"/>
                <w:sz w:val="18"/>
              </w:rPr>
              <w:t>31,6</w:t>
            </w:r>
          </w:p>
        </w:tc>
        <w:tc>
          <w:tcPr>
            <w:tcW w:w="919" w:type="dxa"/>
            <w:tcBorders>
              <w:right w:val="single" w:sz="4" w:space="0" w:color="000000"/>
            </w:tcBorders>
          </w:tcPr>
          <w:p>
            <w:pPr>
              <w:pStyle w:val="TableParagraph"/>
              <w:spacing w:before="17"/>
              <w:ind w:left="72" w:right="29"/>
              <w:jc w:val="center"/>
              <w:rPr>
                <w:sz w:val="18"/>
              </w:rPr>
            </w:pPr>
            <w:r>
              <w:rPr>
                <w:spacing w:val="-4"/>
                <w:sz w:val="18"/>
              </w:rPr>
              <w:t>34,1</w:t>
            </w:r>
          </w:p>
        </w:tc>
        <w:tc>
          <w:tcPr>
            <w:tcW w:w="1275" w:type="dxa"/>
            <w:tcBorders>
              <w:left w:val="single" w:sz="4" w:space="0" w:color="000000"/>
            </w:tcBorders>
          </w:tcPr>
          <w:p>
            <w:pPr>
              <w:pStyle w:val="TableParagraph"/>
              <w:spacing w:line="223" w:lineRule="exact" w:before="4"/>
              <w:ind w:left="8" w:right="5"/>
              <w:jc w:val="center"/>
              <w:rPr>
                <w:sz w:val="20"/>
              </w:rPr>
            </w:pPr>
            <w:r>
              <w:rPr>
                <w:spacing w:val="-5"/>
                <w:sz w:val="20"/>
              </w:rPr>
              <w:t>1,2</w:t>
            </w:r>
          </w:p>
        </w:tc>
      </w:tr>
      <w:tr>
        <w:trPr>
          <w:trHeight w:val="248" w:hRule="atLeast"/>
        </w:trPr>
        <w:tc>
          <w:tcPr>
            <w:tcW w:w="3701" w:type="dxa"/>
            <w:tcBorders>
              <w:right w:val="single" w:sz="4" w:space="0" w:color="000000"/>
            </w:tcBorders>
          </w:tcPr>
          <w:p>
            <w:pPr>
              <w:pStyle w:val="TableParagraph"/>
              <w:spacing w:before="18"/>
              <w:ind w:left="122"/>
              <w:rPr>
                <w:sz w:val="18"/>
              </w:rPr>
            </w:pPr>
            <w:r>
              <w:rPr>
                <w:sz w:val="18"/>
              </w:rPr>
              <w:t>Дугорочно</w:t>
            </w:r>
            <w:r>
              <w:rPr>
                <w:spacing w:val="-3"/>
                <w:sz w:val="18"/>
              </w:rPr>
              <w:t> </w:t>
            </w:r>
            <w:r>
              <w:rPr>
                <w:sz w:val="18"/>
              </w:rPr>
              <w:t>незапослени</w:t>
            </w:r>
            <w:r>
              <w:rPr>
                <w:spacing w:val="-3"/>
                <w:sz w:val="18"/>
              </w:rPr>
              <w:t> </w:t>
            </w:r>
            <w:r>
              <w:rPr>
                <w:sz w:val="18"/>
              </w:rPr>
              <w:t>(дуже</w:t>
            </w:r>
            <w:r>
              <w:rPr>
                <w:spacing w:val="-2"/>
                <w:sz w:val="18"/>
              </w:rPr>
              <w:t> </w:t>
            </w:r>
            <w:r>
              <w:rPr>
                <w:sz w:val="18"/>
              </w:rPr>
              <w:t>од</w:t>
            </w:r>
            <w:r>
              <w:rPr>
                <w:spacing w:val="-2"/>
                <w:sz w:val="18"/>
              </w:rPr>
              <w:t> </w:t>
            </w:r>
            <w:r>
              <w:rPr>
                <w:sz w:val="18"/>
              </w:rPr>
              <w:t>12</w:t>
            </w:r>
            <w:r>
              <w:rPr>
                <w:spacing w:val="-2"/>
                <w:sz w:val="18"/>
              </w:rPr>
              <w:t> месеци)</w:t>
            </w:r>
          </w:p>
        </w:tc>
        <w:tc>
          <w:tcPr>
            <w:tcW w:w="840" w:type="dxa"/>
            <w:tcBorders>
              <w:left w:val="single" w:sz="4" w:space="0" w:color="000000"/>
            </w:tcBorders>
          </w:tcPr>
          <w:p>
            <w:pPr>
              <w:pStyle w:val="TableParagraph"/>
              <w:spacing w:before="18"/>
              <w:ind w:left="72" w:right="40"/>
              <w:jc w:val="center"/>
              <w:rPr>
                <w:sz w:val="18"/>
              </w:rPr>
            </w:pPr>
            <w:r>
              <w:rPr>
                <w:spacing w:val="-4"/>
                <w:sz w:val="18"/>
              </w:rPr>
              <w:t>67,2</w:t>
            </w:r>
          </w:p>
        </w:tc>
        <w:tc>
          <w:tcPr>
            <w:tcW w:w="878" w:type="dxa"/>
          </w:tcPr>
          <w:p>
            <w:pPr>
              <w:pStyle w:val="TableParagraph"/>
              <w:spacing w:before="18"/>
              <w:ind w:left="81" w:right="5"/>
              <w:jc w:val="center"/>
              <w:rPr>
                <w:sz w:val="18"/>
              </w:rPr>
            </w:pPr>
            <w:r>
              <w:rPr>
                <w:spacing w:val="-4"/>
                <w:sz w:val="18"/>
              </w:rPr>
              <w:t>67,4</w:t>
            </w:r>
          </w:p>
        </w:tc>
        <w:tc>
          <w:tcPr>
            <w:tcW w:w="878" w:type="dxa"/>
          </w:tcPr>
          <w:p>
            <w:pPr>
              <w:pStyle w:val="TableParagraph"/>
              <w:spacing w:before="18"/>
              <w:ind w:left="81" w:right="3"/>
              <w:jc w:val="center"/>
              <w:rPr>
                <w:sz w:val="18"/>
              </w:rPr>
            </w:pPr>
            <w:r>
              <w:rPr>
                <w:spacing w:val="-4"/>
                <w:sz w:val="18"/>
              </w:rPr>
              <w:t>68,7</w:t>
            </w:r>
          </w:p>
        </w:tc>
        <w:tc>
          <w:tcPr>
            <w:tcW w:w="878" w:type="dxa"/>
          </w:tcPr>
          <w:p>
            <w:pPr>
              <w:pStyle w:val="TableParagraph"/>
              <w:spacing w:before="18"/>
              <w:ind w:left="81" w:right="3"/>
              <w:jc w:val="center"/>
              <w:rPr>
                <w:sz w:val="18"/>
              </w:rPr>
            </w:pPr>
            <w:r>
              <w:rPr>
                <w:spacing w:val="-4"/>
                <w:sz w:val="18"/>
              </w:rPr>
              <w:t>68,4</w:t>
            </w:r>
          </w:p>
        </w:tc>
        <w:tc>
          <w:tcPr>
            <w:tcW w:w="919" w:type="dxa"/>
            <w:tcBorders>
              <w:right w:val="single" w:sz="4" w:space="0" w:color="000000"/>
            </w:tcBorders>
          </w:tcPr>
          <w:p>
            <w:pPr>
              <w:pStyle w:val="TableParagraph"/>
              <w:spacing w:before="18"/>
              <w:ind w:left="72" w:right="29"/>
              <w:jc w:val="center"/>
              <w:rPr>
                <w:sz w:val="18"/>
              </w:rPr>
            </w:pPr>
            <w:r>
              <w:rPr>
                <w:spacing w:val="-4"/>
                <w:sz w:val="18"/>
              </w:rPr>
              <w:t>65,9</w:t>
            </w:r>
          </w:p>
        </w:tc>
        <w:tc>
          <w:tcPr>
            <w:tcW w:w="1275" w:type="dxa"/>
            <w:tcBorders>
              <w:left w:val="single" w:sz="4" w:space="0" w:color="000000"/>
            </w:tcBorders>
          </w:tcPr>
          <w:p>
            <w:pPr>
              <w:pStyle w:val="TableParagraph"/>
              <w:spacing w:line="224" w:lineRule="exact" w:before="4"/>
              <w:ind w:left="5" w:right="5"/>
              <w:jc w:val="center"/>
              <w:rPr>
                <w:sz w:val="20"/>
              </w:rPr>
            </w:pPr>
            <w:r>
              <w:rPr>
                <w:spacing w:val="-4"/>
                <w:sz w:val="20"/>
              </w:rPr>
              <w:t>-</w:t>
            </w:r>
            <w:r>
              <w:rPr>
                <w:spacing w:val="-5"/>
                <w:sz w:val="20"/>
              </w:rPr>
              <w:t>1,2</w:t>
            </w:r>
          </w:p>
        </w:tc>
      </w:tr>
      <w:tr>
        <w:trPr>
          <w:trHeight w:val="254" w:hRule="atLeast"/>
        </w:trPr>
        <w:tc>
          <w:tcPr>
            <w:tcW w:w="3701" w:type="dxa"/>
            <w:tcBorders>
              <w:bottom w:val="single" w:sz="4" w:space="0" w:color="000000"/>
              <w:right w:val="single" w:sz="4" w:space="0" w:color="000000"/>
            </w:tcBorders>
          </w:tcPr>
          <w:p>
            <w:pPr>
              <w:pStyle w:val="TableParagraph"/>
              <w:spacing w:before="16"/>
              <w:ind w:left="122"/>
              <w:rPr>
                <w:i/>
                <w:sz w:val="18"/>
              </w:rPr>
            </w:pPr>
            <w:r>
              <w:rPr>
                <w:i/>
                <w:sz w:val="18"/>
              </w:rPr>
              <w:t>Веома</w:t>
            </w:r>
            <w:r>
              <w:rPr>
                <w:i/>
                <w:spacing w:val="-1"/>
                <w:sz w:val="18"/>
              </w:rPr>
              <w:t> </w:t>
            </w:r>
            <w:r>
              <w:rPr>
                <w:i/>
                <w:sz w:val="18"/>
              </w:rPr>
              <w:t>дуго</w:t>
            </w:r>
            <w:r>
              <w:rPr>
                <w:i/>
                <w:spacing w:val="-2"/>
                <w:sz w:val="18"/>
              </w:rPr>
              <w:t> </w:t>
            </w:r>
            <w:r>
              <w:rPr>
                <w:i/>
                <w:sz w:val="18"/>
              </w:rPr>
              <w:t>незапослени</w:t>
            </w:r>
            <w:r>
              <w:rPr>
                <w:i/>
                <w:spacing w:val="-1"/>
                <w:sz w:val="18"/>
              </w:rPr>
              <w:t> </w:t>
            </w:r>
            <w:r>
              <w:rPr>
                <w:i/>
                <w:sz w:val="18"/>
              </w:rPr>
              <w:t>(дуже</w:t>
            </w:r>
            <w:r>
              <w:rPr>
                <w:i/>
                <w:spacing w:val="-2"/>
                <w:sz w:val="18"/>
              </w:rPr>
              <w:t> </w:t>
            </w:r>
            <w:r>
              <w:rPr>
                <w:i/>
                <w:sz w:val="18"/>
              </w:rPr>
              <w:t>од</w:t>
            </w:r>
            <w:r>
              <w:rPr>
                <w:i/>
                <w:spacing w:val="-1"/>
                <w:sz w:val="18"/>
              </w:rPr>
              <w:t> </w:t>
            </w:r>
            <w:r>
              <w:rPr>
                <w:i/>
                <w:sz w:val="18"/>
              </w:rPr>
              <w:t>2</w:t>
            </w:r>
            <w:r>
              <w:rPr>
                <w:i/>
                <w:spacing w:val="-2"/>
                <w:sz w:val="18"/>
              </w:rPr>
              <w:t> године)</w:t>
            </w:r>
          </w:p>
        </w:tc>
        <w:tc>
          <w:tcPr>
            <w:tcW w:w="840" w:type="dxa"/>
            <w:tcBorders>
              <w:left w:val="single" w:sz="4" w:space="0" w:color="000000"/>
              <w:bottom w:val="single" w:sz="4" w:space="0" w:color="000000"/>
            </w:tcBorders>
          </w:tcPr>
          <w:p>
            <w:pPr>
              <w:pStyle w:val="TableParagraph"/>
              <w:spacing w:before="16"/>
              <w:ind w:left="72" w:right="40"/>
              <w:jc w:val="center"/>
              <w:rPr>
                <w:i/>
                <w:sz w:val="18"/>
              </w:rPr>
            </w:pPr>
            <w:r>
              <w:rPr>
                <w:i/>
                <w:spacing w:val="-4"/>
                <w:sz w:val="18"/>
              </w:rPr>
              <w:t>52,0</w:t>
            </w:r>
          </w:p>
        </w:tc>
        <w:tc>
          <w:tcPr>
            <w:tcW w:w="878" w:type="dxa"/>
            <w:tcBorders>
              <w:bottom w:val="single" w:sz="4" w:space="0" w:color="000000"/>
            </w:tcBorders>
          </w:tcPr>
          <w:p>
            <w:pPr>
              <w:pStyle w:val="TableParagraph"/>
              <w:spacing w:before="16"/>
              <w:ind w:left="81" w:right="5"/>
              <w:jc w:val="center"/>
              <w:rPr>
                <w:i/>
                <w:sz w:val="18"/>
              </w:rPr>
            </w:pPr>
            <w:r>
              <w:rPr>
                <w:i/>
                <w:spacing w:val="-4"/>
                <w:sz w:val="18"/>
              </w:rPr>
              <w:t>52,2</w:t>
            </w:r>
          </w:p>
        </w:tc>
        <w:tc>
          <w:tcPr>
            <w:tcW w:w="878" w:type="dxa"/>
            <w:tcBorders>
              <w:bottom w:val="single" w:sz="4" w:space="0" w:color="000000"/>
            </w:tcBorders>
          </w:tcPr>
          <w:p>
            <w:pPr>
              <w:pStyle w:val="TableParagraph"/>
              <w:spacing w:before="16"/>
              <w:ind w:left="81" w:right="3"/>
              <w:jc w:val="center"/>
              <w:rPr>
                <w:i/>
                <w:sz w:val="18"/>
              </w:rPr>
            </w:pPr>
            <w:r>
              <w:rPr>
                <w:i/>
                <w:spacing w:val="-4"/>
                <w:sz w:val="18"/>
              </w:rPr>
              <w:t>53,8</w:t>
            </w:r>
          </w:p>
        </w:tc>
        <w:tc>
          <w:tcPr>
            <w:tcW w:w="878" w:type="dxa"/>
            <w:tcBorders>
              <w:bottom w:val="single" w:sz="4" w:space="0" w:color="000000"/>
            </w:tcBorders>
          </w:tcPr>
          <w:p>
            <w:pPr>
              <w:pStyle w:val="TableParagraph"/>
              <w:spacing w:before="16"/>
              <w:ind w:left="81" w:right="3"/>
              <w:jc w:val="center"/>
              <w:rPr>
                <w:i/>
                <w:sz w:val="18"/>
              </w:rPr>
            </w:pPr>
            <w:r>
              <w:rPr>
                <w:i/>
                <w:spacing w:val="-4"/>
                <w:sz w:val="18"/>
              </w:rPr>
              <w:t>54,9</w:t>
            </w:r>
          </w:p>
        </w:tc>
        <w:tc>
          <w:tcPr>
            <w:tcW w:w="919" w:type="dxa"/>
            <w:tcBorders>
              <w:bottom w:val="single" w:sz="4" w:space="0" w:color="000000"/>
              <w:right w:val="single" w:sz="4" w:space="0" w:color="000000"/>
            </w:tcBorders>
          </w:tcPr>
          <w:p>
            <w:pPr>
              <w:pStyle w:val="TableParagraph"/>
              <w:spacing w:before="16"/>
              <w:ind w:left="72" w:right="29"/>
              <w:jc w:val="center"/>
              <w:rPr>
                <w:i/>
                <w:sz w:val="18"/>
              </w:rPr>
            </w:pPr>
            <w:r>
              <w:rPr>
                <w:i/>
                <w:spacing w:val="-4"/>
                <w:sz w:val="18"/>
              </w:rPr>
              <w:t>52,8</w:t>
            </w:r>
          </w:p>
        </w:tc>
        <w:tc>
          <w:tcPr>
            <w:tcW w:w="1275" w:type="dxa"/>
            <w:tcBorders>
              <w:left w:val="single" w:sz="4" w:space="0" w:color="000000"/>
              <w:bottom w:val="single" w:sz="4" w:space="0" w:color="000000"/>
            </w:tcBorders>
          </w:tcPr>
          <w:p>
            <w:pPr>
              <w:pStyle w:val="TableParagraph"/>
              <w:spacing w:line="229" w:lineRule="exact" w:before="5"/>
              <w:ind w:left="8" w:right="5"/>
              <w:jc w:val="center"/>
              <w:rPr>
                <w:i/>
                <w:sz w:val="20"/>
              </w:rPr>
            </w:pPr>
            <w:r>
              <w:rPr>
                <w:i/>
                <w:spacing w:val="-5"/>
                <w:sz w:val="20"/>
              </w:rPr>
              <w:t>0,8</w:t>
            </w:r>
          </w:p>
        </w:tc>
      </w:tr>
    </w:tbl>
    <w:p>
      <w:pPr>
        <w:spacing w:before="3"/>
        <w:ind w:left="360" w:right="0" w:firstLine="0"/>
        <w:jc w:val="both"/>
        <w:rPr>
          <w:i/>
          <w:sz w:val="20"/>
        </w:rPr>
      </w:pPr>
      <w:r>
        <w:rPr>
          <w:i/>
          <w:sz w:val="20"/>
        </w:rPr>
        <w:t>Извор:</w:t>
      </w:r>
      <w:r>
        <w:rPr>
          <w:i/>
          <w:spacing w:val="-6"/>
          <w:sz w:val="20"/>
        </w:rPr>
        <w:t> </w:t>
      </w:r>
      <w:r>
        <w:rPr>
          <w:i/>
          <w:spacing w:val="-5"/>
          <w:sz w:val="20"/>
        </w:rPr>
        <w:t>НСЗ</w:t>
      </w:r>
    </w:p>
    <w:p>
      <w:pPr>
        <w:pStyle w:val="BodyText"/>
        <w:spacing w:before="119"/>
        <w:ind w:right="711" w:firstLine="719"/>
      </w:pPr>
      <w:r>
        <w:rPr/>
        <w:t>Број</w:t>
      </w:r>
      <w:r>
        <w:rPr>
          <w:spacing w:val="-15"/>
        </w:rPr>
        <w:t> </w:t>
      </w:r>
      <w:r>
        <w:rPr/>
        <w:t>незапослених</w:t>
      </w:r>
      <w:r>
        <w:rPr>
          <w:spacing w:val="-15"/>
        </w:rPr>
        <w:t> </w:t>
      </w:r>
      <w:r>
        <w:rPr/>
        <w:t>жена</w:t>
      </w:r>
      <w:r>
        <w:rPr>
          <w:spacing w:val="-15"/>
        </w:rPr>
        <w:t> </w:t>
      </w:r>
      <w:r>
        <w:rPr/>
        <w:t>на</w:t>
      </w:r>
      <w:r>
        <w:rPr>
          <w:spacing w:val="-15"/>
        </w:rPr>
        <w:t> </w:t>
      </w:r>
      <w:r>
        <w:rPr/>
        <w:t>евиденцији</w:t>
      </w:r>
      <w:r>
        <w:rPr>
          <w:spacing w:val="-15"/>
        </w:rPr>
        <w:t> </w:t>
      </w:r>
      <w:r>
        <w:rPr/>
        <w:t>НСЗ</w:t>
      </w:r>
      <w:r>
        <w:rPr>
          <w:spacing w:val="-15"/>
        </w:rPr>
        <w:t> </w:t>
      </w:r>
      <w:r>
        <w:rPr/>
        <w:t>у</w:t>
      </w:r>
      <w:r>
        <w:rPr>
          <w:spacing w:val="-15"/>
        </w:rPr>
        <w:t> </w:t>
      </w:r>
      <w:r>
        <w:rPr/>
        <w:t>2019.</w:t>
      </w:r>
      <w:r>
        <w:rPr>
          <w:spacing w:val="-15"/>
        </w:rPr>
        <w:t> </w:t>
      </w:r>
      <w:r>
        <w:rPr/>
        <w:t>години</w:t>
      </w:r>
      <w:r>
        <w:rPr>
          <w:spacing w:val="-15"/>
        </w:rPr>
        <w:t> </w:t>
      </w:r>
      <w:r>
        <w:rPr/>
        <w:t>износио</w:t>
      </w:r>
      <w:r>
        <w:rPr>
          <w:spacing w:val="-15"/>
        </w:rPr>
        <w:t> </w:t>
      </w:r>
      <w:r>
        <w:rPr/>
        <w:t>је</w:t>
      </w:r>
      <w:r>
        <w:rPr>
          <w:spacing w:val="-15"/>
        </w:rPr>
        <w:t> </w:t>
      </w:r>
      <w:r>
        <w:rPr/>
        <w:t>око</w:t>
      </w:r>
      <w:r>
        <w:rPr>
          <w:spacing w:val="-15"/>
        </w:rPr>
        <w:t> </w:t>
      </w:r>
      <w:r>
        <w:rPr/>
        <w:t>287</w:t>
      </w:r>
      <w:r>
        <w:rPr>
          <w:spacing w:val="-15"/>
        </w:rPr>
        <w:t> </w:t>
      </w:r>
      <w:r>
        <w:rPr/>
        <w:t>хиљада лица,</w:t>
      </w:r>
      <w:r>
        <w:rPr>
          <w:spacing w:val="-2"/>
        </w:rPr>
        <w:t> </w:t>
      </w:r>
      <w:r>
        <w:rPr/>
        <w:t>што</w:t>
      </w:r>
      <w:r>
        <w:rPr>
          <w:spacing w:val="-2"/>
        </w:rPr>
        <w:t> </w:t>
      </w:r>
      <w:r>
        <w:rPr/>
        <w:t>је</w:t>
      </w:r>
      <w:r>
        <w:rPr>
          <w:spacing w:val="-2"/>
        </w:rPr>
        <w:t> </w:t>
      </w:r>
      <w:r>
        <w:rPr/>
        <w:t>мање</w:t>
      </w:r>
      <w:r>
        <w:rPr>
          <w:spacing w:val="-1"/>
        </w:rPr>
        <w:t> </w:t>
      </w:r>
      <w:r>
        <w:rPr/>
        <w:t>за</w:t>
      </w:r>
      <w:r>
        <w:rPr>
          <w:spacing w:val="-3"/>
        </w:rPr>
        <w:t> </w:t>
      </w:r>
      <w:r>
        <w:rPr/>
        <w:t>око</w:t>
      </w:r>
      <w:r>
        <w:rPr>
          <w:spacing w:val="-2"/>
        </w:rPr>
        <w:t> </w:t>
      </w:r>
      <w:r>
        <w:rPr/>
        <w:t>93</w:t>
      </w:r>
      <w:r>
        <w:rPr>
          <w:spacing w:val="-2"/>
        </w:rPr>
        <w:t> </w:t>
      </w:r>
      <w:r>
        <w:rPr/>
        <w:t>хиљада</w:t>
      </w:r>
      <w:r>
        <w:rPr>
          <w:spacing w:val="-3"/>
        </w:rPr>
        <w:t> </w:t>
      </w:r>
      <w:r>
        <w:rPr/>
        <w:t>(24,6%) у</w:t>
      </w:r>
      <w:r>
        <w:rPr>
          <w:spacing w:val="-4"/>
        </w:rPr>
        <w:t> </w:t>
      </w:r>
      <w:r>
        <w:rPr/>
        <w:t>односу</w:t>
      </w:r>
      <w:r>
        <w:rPr>
          <w:spacing w:val="-6"/>
        </w:rPr>
        <w:t> </w:t>
      </w:r>
      <w:r>
        <w:rPr/>
        <w:t>на</w:t>
      </w:r>
      <w:r>
        <w:rPr>
          <w:spacing w:val="-2"/>
        </w:rPr>
        <w:t> </w:t>
      </w:r>
      <w:r>
        <w:rPr/>
        <w:t>период</w:t>
      </w:r>
      <w:r>
        <w:rPr>
          <w:spacing w:val="-2"/>
        </w:rPr>
        <w:t> </w:t>
      </w:r>
      <w:r>
        <w:rPr/>
        <w:t>2015-2019.</w:t>
      </w:r>
      <w:r>
        <w:rPr>
          <w:spacing w:val="-2"/>
        </w:rPr>
        <w:t> </w:t>
      </w:r>
      <w:r>
        <w:rPr/>
        <w:t>године.</w:t>
      </w:r>
      <w:r>
        <w:rPr>
          <w:spacing w:val="-2"/>
        </w:rPr>
        <w:t> </w:t>
      </w:r>
      <w:r>
        <w:rPr/>
        <w:t>Иако</w:t>
      </w:r>
      <w:r>
        <w:rPr>
          <w:spacing w:val="-2"/>
        </w:rPr>
        <w:t> </w:t>
      </w:r>
      <w:r>
        <w:rPr/>
        <w:t>се број незапослених жена на евиденцији смањио током посматраног периода, учешће незапослених жена у укупном броју незапослених лица се повећало за 3 п.п. – са 51,2% у 2015. на 54,2% у 2019. години. Разлог овог повећања учешћа жена је то што се незапосленост мушкараца у посматраном периоду смањила (око 120 хиљада лица или 33,1%) више него незапосленост жена.</w:t>
      </w:r>
    </w:p>
    <w:p>
      <w:pPr>
        <w:pStyle w:val="BodyText"/>
        <w:spacing w:after="0"/>
        <w:sectPr>
          <w:pgSz w:w="12240" w:h="15840"/>
          <w:pgMar w:header="0" w:footer="702" w:top="1360" w:bottom="900" w:left="1080" w:right="720"/>
        </w:sectPr>
      </w:pPr>
    </w:p>
    <w:p>
      <w:pPr>
        <w:pStyle w:val="BodyText"/>
        <w:spacing w:before="92"/>
        <w:ind w:right="713" w:firstLine="719"/>
      </w:pPr>
      <w:r>
        <w:rPr/>
        <w:t>Карактеристике незапослених на евиденцији</w:t>
      </w:r>
      <w:r>
        <w:rPr>
          <w:vertAlign w:val="superscript"/>
        </w:rPr>
        <w:t>20</w:t>
      </w:r>
      <w:r>
        <w:rPr>
          <w:vertAlign w:val="baseline"/>
        </w:rPr>
        <w:t> посматрају се у односу</w:t>
      </w:r>
      <w:r>
        <w:rPr>
          <w:spacing w:val="-3"/>
          <w:vertAlign w:val="baseline"/>
        </w:rPr>
        <w:t> </w:t>
      </w:r>
      <w:r>
        <w:rPr>
          <w:vertAlign w:val="baseline"/>
        </w:rPr>
        <w:t>на образовни ниво,</w:t>
      </w:r>
      <w:r>
        <w:rPr>
          <w:spacing w:val="-11"/>
          <w:vertAlign w:val="baseline"/>
        </w:rPr>
        <w:t> </w:t>
      </w:r>
      <w:r>
        <w:rPr>
          <w:vertAlign w:val="baseline"/>
        </w:rPr>
        <w:t>године</w:t>
      </w:r>
      <w:r>
        <w:rPr>
          <w:spacing w:val="-11"/>
          <w:vertAlign w:val="baseline"/>
        </w:rPr>
        <w:t> </w:t>
      </w:r>
      <w:r>
        <w:rPr>
          <w:vertAlign w:val="baseline"/>
        </w:rPr>
        <w:t>старости</w:t>
      </w:r>
      <w:r>
        <w:rPr>
          <w:spacing w:val="-8"/>
          <w:vertAlign w:val="baseline"/>
        </w:rPr>
        <w:t> </w:t>
      </w:r>
      <w:r>
        <w:rPr>
          <w:vertAlign w:val="baseline"/>
        </w:rPr>
        <w:t>и</w:t>
      </w:r>
      <w:r>
        <w:rPr>
          <w:spacing w:val="-11"/>
          <w:vertAlign w:val="baseline"/>
        </w:rPr>
        <w:t> </w:t>
      </w:r>
      <w:r>
        <w:rPr>
          <w:vertAlign w:val="baseline"/>
        </w:rPr>
        <w:t>дужину</w:t>
      </w:r>
      <w:r>
        <w:rPr>
          <w:spacing w:val="-14"/>
          <w:vertAlign w:val="baseline"/>
        </w:rPr>
        <w:t> </w:t>
      </w:r>
      <w:r>
        <w:rPr>
          <w:vertAlign w:val="baseline"/>
        </w:rPr>
        <w:t>тражења</w:t>
      </w:r>
      <w:r>
        <w:rPr>
          <w:spacing w:val="-11"/>
          <w:vertAlign w:val="baseline"/>
        </w:rPr>
        <w:t> </w:t>
      </w:r>
      <w:r>
        <w:rPr>
          <w:vertAlign w:val="baseline"/>
        </w:rPr>
        <w:t>посла.</w:t>
      </w:r>
      <w:r>
        <w:rPr>
          <w:spacing w:val="-10"/>
          <w:vertAlign w:val="baseline"/>
        </w:rPr>
        <w:t> </w:t>
      </w:r>
      <w:r>
        <w:rPr>
          <w:vertAlign w:val="baseline"/>
        </w:rPr>
        <w:t>Структура</w:t>
      </w:r>
      <w:r>
        <w:rPr>
          <w:spacing w:val="-11"/>
          <w:vertAlign w:val="baseline"/>
        </w:rPr>
        <w:t> </w:t>
      </w:r>
      <w:r>
        <w:rPr>
          <w:vertAlign w:val="baseline"/>
        </w:rPr>
        <w:t>према</w:t>
      </w:r>
      <w:r>
        <w:rPr>
          <w:spacing w:val="-11"/>
          <w:vertAlign w:val="baseline"/>
        </w:rPr>
        <w:t> </w:t>
      </w:r>
      <w:r>
        <w:rPr>
          <w:vertAlign w:val="baseline"/>
        </w:rPr>
        <w:t>образовном</w:t>
      </w:r>
      <w:r>
        <w:rPr>
          <w:spacing w:val="-10"/>
          <w:vertAlign w:val="baseline"/>
        </w:rPr>
        <w:t> </w:t>
      </w:r>
      <w:r>
        <w:rPr>
          <w:vertAlign w:val="baseline"/>
        </w:rPr>
        <w:t>нивоу</w:t>
      </w:r>
      <w:r>
        <w:rPr>
          <w:spacing w:val="-15"/>
          <w:vertAlign w:val="baseline"/>
        </w:rPr>
        <w:t> </w:t>
      </w:r>
      <w:r>
        <w:rPr>
          <w:vertAlign w:val="baseline"/>
        </w:rPr>
        <w:t>говори да је једна трећина незапослених без квалификација (33,6% или 178 хиљада лица), са средњом школом више од половине (51,8% или око 274 хиљаде лица), док завршено више и високо образовање има 14,6% незапослених (или око 77 хиљада лица). Старосна структура незапослених лица је неповољна: учешће незапослених старијих од 50 година износи</w:t>
      </w:r>
      <w:r>
        <w:rPr>
          <w:spacing w:val="-13"/>
          <w:vertAlign w:val="baseline"/>
        </w:rPr>
        <w:t> </w:t>
      </w:r>
      <w:r>
        <w:rPr>
          <w:vertAlign w:val="baseline"/>
        </w:rPr>
        <w:t>33,6%</w:t>
      </w:r>
      <w:r>
        <w:rPr>
          <w:spacing w:val="-13"/>
          <w:vertAlign w:val="baseline"/>
        </w:rPr>
        <w:t> </w:t>
      </w:r>
      <w:r>
        <w:rPr>
          <w:vertAlign w:val="baseline"/>
        </w:rPr>
        <w:t>(или</w:t>
      </w:r>
      <w:r>
        <w:rPr>
          <w:spacing w:val="-13"/>
          <w:vertAlign w:val="baseline"/>
        </w:rPr>
        <w:t> </w:t>
      </w:r>
      <w:r>
        <w:rPr>
          <w:vertAlign w:val="baseline"/>
        </w:rPr>
        <w:t>око</w:t>
      </w:r>
      <w:r>
        <w:rPr>
          <w:spacing w:val="-14"/>
          <w:vertAlign w:val="baseline"/>
        </w:rPr>
        <w:t> </w:t>
      </w:r>
      <w:r>
        <w:rPr>
          <w:vertAlign w:val="baseline"/>
        </w:rPr>
        <w:t>178</w:t>
      </w:r>
      <w:r>
        <w:rPr>
          <w:spacing w:val="-12"/>
          <w:vertAlign w:val="baseline"/>
        </w:rPr>
        <w:t> </w:t>
      </w:r>
      <w:r>
        <w:rPr>
          <w:vertAlign w:val="baseline"/>
        </w:rPr>
        <w:t>хиљада</w:t>
      </w:r>
      <w:r>
        <w:rPr>
          <w:spacing w:val="-13"/>
          <w:vertAlign w:val="baseline"/>
        </w:rPr>
        <w:t> </w:t>
      </w:r>
      <w:r>
        <w:rPr>
          <w:vertAlign w:val="baseline"/>
        </w:rPr>
        <w:t>лица),</w:t>
      </w:r>
      <w:r>
        <w:rPr>
          <w:spacing w:val="-13"/>
          <w:vertAlign w:val="baseline"/>
        </w:rPr>
        <w:t> </w:t>
      </w:r>
      <w:r>
        <w:rPr>
          <w:vertAlign w:val="baseline"/>
        </w:rPr>
        <w:t>док</w:t>
      </w:r>
      <w:r>
        <w:rPr>
          <w:spacing w:val="-11"/>
          <w:vertAlign w:val="baseline"/>
        </w:rPr>
        <w:t> </w:t>
      </w:r>
      <w:r>
        <w:rPr>
          <w:vertAlign w:val="baseline"/>
        </w:rPr>
        <w:t>млади</w:t>
      </w:r>
      <w:r>
        <w:rPr>
          <w:spacing w:val="-10"/>
          <w:vertAlign w:val="baseline"/>
        </w:rPr>
        <w:t> </w:t>
      </w:r>
      <w:r>
        <w:rPr>
          <w:vertAlign w:val="baseline"/>
        </w:rPr>
        <w:t>учествују</w:t>
      </w:r>
      <w:r>
        <w:rPr>
          <w:spacing w:val="-15"/>
          <w:vertAlign w:val="baseline"/>
        </w:rPr>
        <w:t> </w:t>
      </w:r>
      <w:r>
        <w:rPr>
          <w:vertAlign w:val="baseline"/>
        </w:rPr>
        <w:t>са</w:t>
      </w:r>
      <w:r>
        <w:rPr>
          <w:spacing w:val="-13"/>
          <w:vertAlign w:val="baseline"/>
        </w:rPr>
        <w:t> </w:t>
      </w:r>
      <w:r>
        <w:rPr>
          <w:vertAlign w:val="baseline"/>
        </w:rPr>
        <w:t>20,7%</w:t>
      </w:r>
      <w:r>
        <w:rPr>
          <w:spacing w:val="-11"/>
          <w:vertAlign w:val="baseline"/>
        </w:rPr>
        <w:t> </w:t>
      </w:r>
      <w:r>
        <w:rPr>
          <w:vertAlign w:val="baseline"/>
        </w:rPr>
        <w:t>(или</w:t>
      </w:r>
      <w:r>
        <w:rPr>
          <w:spacing w:val="-10"/>
          <w:vertAlign w:val="baseline"/>
        </w:rPr>
        <w:t> </w:t>
      </w:r>
      <w:r>
        <w:rPr>
          <w:vertAlign w:val="baseline"/>
        </w:rPr>
        <w:t>око</w:t>
      </w:r>
      <w:r>
        <w:rPr>
          <w:spacing w:val="-12"/>
          <w:vertAlign w:val="baseline"/>
        </w:rPr>
        <w:t> </w:t>
      </w:r>
      <w:r>
        <w:rPr>
          <w:vertAlign w:val="baseline"/>
        </w:rPr>
        <w:t>110</w:t>
      </w:r>
      <w:r>
        <w:rPr>
          <w:spacing w:val="-14"/>
          <w:vertAlign w:val="baseline"/>
        </w:rPr>
        <w:t> </w:t>
      </w:r>
      <w:r>
        <w:rPr>
          <w:vertAlign w:val="baseline"/>
        </w:rPr>
        <w:t>хиљада лица). Дугорочна незапосленост је карактеристика лица на евиденцији НСЗ која говори о томе да 65,9% лица посао тражи дуже од годину дана. Повећање учешћа жена, лица без квалификација</w:t>
      </w:r>
      <w:r>
        <w:rPr>
          <w:spacing w:val="-11"/>
          <w:vertAlign w:val="baseline"/>
        </w:rPr>
        <w:t> </w:t>
      </w:r>
      <w:r>
        <w:rPr>
          <w:vertAlign w:val="baseline"/>
        </w:rPr>
        <w:t>и</w:t>
      </w:r>
      <w:r>
        <w:rPr>
          <w:spacing w:val="-12"/>
          <w:vertAlign w:val="baseline"/>
        </w:rPr>
        <w:t> </w:t>
      </w:r>
      <w:r>
        <w:rPr>
          <w:vertAlign w:val="baseline"/>
        </w:rPr>
        <w:t>старијих</w:t>
      </w:r>
      <w:r>
        <w:rPr>
          <w:spacing w:val="-11"/>
          <w:vertAlign w:val="baseline"/>
        </w:rPr>
        <w:t> </w:t>
      </w:r>
      <w:r>
        <w:rPr>
          <w:vertAlign w:val="baseline"/>
        </w:rPr>
        <w:t>од</w:t>
      </w:r>
      <w:r>
        <w:rPr>
          <w:spacing w:val="-10"/>
          <w:vertAlign w:val="baseline"/>
        </w:rPr>
        <w:t> </w:t>
      </w:r>
      <w:r>
        <w:rPr>
          <w:vertAlign w:val="baseline"/>
        </w:rPr>
        <w:t>50</w:t>
      </w:r>
      <w:r>
        <w:rPr>
          <w:spacing w:val="-11"/>
          <w:vertAlign w:val="baseline"/>
        </w:rPr>
        <w:t> </w:t>
      </w:r>
      <w:r>
        <w:rPr>
          <w:vertAlign w:val="baseline"/>
        </w:rPr>
        <w:t>година,</w:t>
      </w:r>
      <w:r>
        <w:rPr>
          <w:spacing w:val="-11"/>
          <w:vertAlign w:val="baseline"/>
        </w:rPr>
        <w:t> </w:t>
      </w:r>
      <w:r>
        <w:rPr>
          <w:vertAlign w:val="baseline"/>
        </w:rPr>
        <w:t>као</w:t>
      </w:r>
      <w:r>
        <w:rPr>
          <w:spacing w:val="-11"/>
          <w:vertAlign w:val="baseline"/>
        </w:rPr>
        <w:t> </w:t>
      </w:r>
      <w:r>
        <w:rPr>
          <w:vertAlign w:val="baseline"/>
        </w:rPr>
        <w:t>и</w:t>
      </w:r>
      <w:r>
        <w:rPr>
          <w:spacing w:val="-12"/>
          <w:vertAlign w:val="baseline"/>
        </w:rPr>
        <w:t> </w:t>
      </w:r>
      <w:r>
        <w:rPr>
          <w:vertAlign w:val="baseline"/>
        </w:rPr>
        <w:t>благи</w:t>
      </w:r>
      <w:r>
        <w:rPr>
          <w:spacing w:val="-10"/>
          <w:vertAlign w:val="baseline"/>
        </w:rPr>
        <w:t> </w:t>
      </w:r>
      <w:r>
        <w:rPr>
          <w:vertAlign w:val="baseline"/>
        </w:rPr>
        <w:t>пораст</w:t>
      </w:r>
      <w:r>
        <w:rPr>
          <w:spacing w:val="-8"/>
          <w:vertAlign w:val="baseline"/>
        </w:rPr>
        <w:t> </w:t>
      </w:r>
      <w:r>
        <w:rPr>
          <w:vertAlign w:val="baseline"/>
        </w:rPr>
        <w:t>учешћа</w:t>
      </w:r>
      <w:r>
        <w:rPr>
          <w:spacing w:val="-12"/>
          <w:vertAlign w:val="baseline"/>
        </w:rPr>
        <w:t> </w:t>
      </w:r>
      <w:r>
        <w:rPr>
          <w:vertAlign w:val="baseline"/>
        </w:rPr>
        <w:t>незапослених</w:t>
      </w:r>
      <w:r>
        <w:rPr>
          <w:spacing w:val="-11"/>
          <w:vertAlign w:val="baseline"/>
        </w:rPr>
        <w:t> </w:t>
      </w:r>
      <w:r>
        <w:rPr>
          <w:vertAlign w:val="baseline"/>
        </w:rPr>
        <w:t>који</w:t>
      </w:r>
      <w:r>
        <w:rPr>
          <w:spacing w:val="-10"/>
          <w:vertAlign w:val="baseline"/>
        </w:rPr>
        <w:t> </w:t>
      </w:r>
      <w:r>
        <w:rPr>
          <w:vertAlign w:val="baseline"/>
        </w:rPr>
        <w:t>посао траже дуже од 2 године, основни су трендови кретања структуре регистроване </w:t>
      </w:r>
      <w:r>
        <w:rPr>
          <w:spacing w:val="-2"/>
          <w:vertAlign w:val="baseline"/>
        </w:rPr>
        <w:t>незапослености.</w:t>
      </w:r>
    </w:p>
    <w:p>
      <w:pPr>
        <w:spacing w:before="121"/>
        <w:ind w:left="360" w:right="0" w:firstLine="0"/>
        <w:jc w:val="both"/>
        <w:rPr>
          <w:i/>
          <w:sz w:val="24"/>
        </w:rPr>
      </w:pPr>
      <w:r>
        <w:rPr>
          <w:i/>
          <w:sz w:val="24"/>
        </w:rPr>
        <w:t>Теже</w:t>
      </w:r>
      <w:r>
        <w:rPr>
          <w:i/>
          <w:spacing w:val="-4"/>
          <w:sz w:val="24"/>
        </w:rPr>
        <w:t> </w:t>
      </w:r>
      <w:r>
        <w:rPr>
          <w:i/>
          <w:sz w:val="24"/>
        </w:rPr>
        <w:t>запошљива</w:t>
      </w:r>
      <w:r>
        <w:rPr>
          <w:i/>
          <w:spacing w:val="-3"/>
          <w:sz w:val="24"/>
        </w:rPr>
        <w:t> </w:t>
      </w:r>
      <w:r>
        <w:rPr>
          <w:i/>
          <w:spacing w:val="-4"/>
          <w:sz w:val="24"/>
        </w:rPr>
        <w:t>лица</w:t>
      </w:r>
    </w:p>
    <w:p>
      <w:pPr>
        <w:pStyle w:val="BodyText"/>
        <w:spacing w:before="120"/>
        <w:ind w:right="721" w:firstLine="719"/>
      </w:pPr>
      <w:r>
        <w:rPr/>
        <w:t>Теже запошљива лица, у складу са Законом о запошљавању и осигурању за случај незапослености, су незапослена лица која због здравственог стања, недовољног или неодговарајућег образовања, социодемографских карактеристика, регионалне или професионалне неусклађености понуде и тражње на тржишту рада, или због других објективних околности теже налазе посао. Посебно су угрожена лица која се истовремено суочавају са више фактора рањивости/отежане запошљивости.</w:t>
      </w:r>
    </w:p>
    <w:p>
      <w:pPr>
        <w:spacing w:before="120"/>
        <w:ind w:left="1080" w:right="0" w:firstLine="0"/>
        <w:jc w:val="left"/>
        <w:rPr>
          <w:i/>
          <w:sz w:val="24"/>
        </w:rPr>
      </w:pPr>
      <w:r>
        <w:rPr>
          <w:i/>
          <w:spacing w:val="-4"/>
          <w:sz w:val="24"/>
        </w:rPr>
        <w:t>Жене</w:t>
      </w:r>
    </w:p>
    <w:p>
      <w:pPr>
        <w:pStyle w:val="BodyText"/>
        <w:spacing w:before="121"/>
        <w:ind w:right="716" w:firstLine="719"/>
      </w:pPr>
      <w:r>
        <w:rPr/>
        <w:t>У структури становништва Србије жене чине 51,3% према проценама из 2019. године. Уколико се посматра становништво радног узраста, процене говоре да у Србији живи</w:t>
      </w:r>
      <w:r>
        <w:rPr>
          <w:spacing w:val="-8"/>
        </w:rPr>
        <w:t> </w:t>
      </w:r>
      <w:r>
        <w:rPr/>
        <w:t>тек</w:t>
      </w:r>
      <w:r>
        <w:rPr>
          <w:spacing w:val="-10"/>
        </w:rPr>
        <w:t> </w:t>
      </w:r>
      <w:r>
        <w:rPr/>
        <w:t>око</w:t>
      </w:r>
      <w:r>
        <w:rPr>
          <w:spacing w:val="-11"/>
        </w:rPr>
        <w:t> </w:t>
      </w:r>
      <w:r>
        <w:rPr/>
        <w:t>4.500</w:t>
      </w:r>
      <w:r>
        <w:rPr>
          <w:spacing w:val="-8"/>
        </w:rPr>
        <w:t> </w:t>
      </w:r>
      <w:r>
        <w:rPr/>
        <w:t>жена</w:t>
      </w:r>
      <w:r>
        <w:rPr>
          <w:spacing w:val="-9"/>
        </w:rPr>
        <w:t> </w:t>
      </w:r>
      <w:r>
        <w:rPr/>
        <w:t>више</w:t>
      </w:r>
      <w:r>
        <w:rPr>
          <w:spacing w:val="-9"/>
        </w:rPr>
        <w:t> </w:t>
      </w:r>
      <w:r>
        <w:rPr/>
        <w:t>него</w:t>
      </w:r>
      <w:r>
        <w:rPr>
          <w:spacing w:val="-8"/>
        </w:rPr>
        <w:t> </w:t>
      </w:r>
      <w:r>
        <w:rPr/>
        <w:t>мушкараца.</w:t>
      </w:r>
      <w:r>
        <w:rPr>
          <w:spacing w:val="-8"/>
        </w:rPr>
        <w:t> </w:t>
      </w:r>
      <w:r>
        <w:rPr/>
        <w:t>Међутим,</w:t>
      </w:r>
      <w:r>
        <w:rPr>
          <w:spacing w:val="-8"/>
        </w:rPr>
        <w:t> </w:t>
      </w:r>
      <w:r>
        <w:rPr/>
        <w:t>без</w:t>
      </w:r>
      <w:r>
        <w:rPr>
          <w:spacing w:val="-7"/>
        </w:rPr>
        <w:t> </w:t>
      </w:r>
      <w:r>
        <w:rPr/>
        <w:t>обзира</w:t>
      </w:r>
      <w:r>
        <w:rPr>
          <w:spacing w:val="-12"/>
        </w:rPr>
        <w:t> </w:t>
      </w:r>
      <w:r>
        <w:rPr/>
        <w:t>на</w:t>
      </w:r>
      <w:r>
        <w:rPr>
          <w:spacing w:val="-9"/>
        </w:rPr>
        <w:t> </w:t>
      </w:r>
      <w:r>
        <w:rPr/>
        <w:t>родну</w:t>
      </w:r>
      <w:r>
        <w:rPr>
          <w:spacing w:val="-11"/>
        </w:rPr>
        <w:t> </w:t>
      </w:r>
      <w:r>
        <w:rPr/>
        <w:t>уједначеност становништва</w:t>
      </w:r>
      <w:r>
        <w:rPr>
          <w:spacing w:val="-10"/>
        </w:rPr>
        <w:t> </w:t>
      </w:r>
      <w:r>
        <w:rPr/>
        <w:t>радног</w:t>
      </w:r>
      <w:r>
        <w:rPr>
          <w:spacing w:val="-7"/>
        </w:rPr>
        <w:t> </w:t>
      </w:r>
      <w:r>
        <w:rPr/>
        <w:t>узраста,</w:t>
      </w:r>
      <w:r>
        <w:rPr>
          <w:spacing w:val="-4"/>
        </w:rPr>
        <w:t> </w:t>
      </w:r>
      <w:r>
        <w:rPr/>
        <w:t>учешће</w:t>
      </w:r>
      <w:r>
        <w:rPr>
          <w:spacing w:val="-10"/>
        </w:rPr>
        <w:t> </w:t>
      </w:r>
      <w:r>
        <w:rPr/>
        <w:t>жена</w:t>
      </w:r>
      <w:r>
        <w:rPr>
          <w:spacing w:val="-8"/>
        </w:rPr>
        <w:t> </w:t>
      </w:r>
      <w:r>
        <w:rPr/>
        <w:t>међу</w:t>
      </w:r>
      <w:r>
        <w:rPr>
          <w:spacing w:val="-11"/>
        </w:rPr>
        <w:t> </w:t>
      </w:r>
      <w:r>
        <w:rPr/>
        <w:t>активним</w:t>
      </w:r>
      <w:r>
        <w:rPr>
          <w:spacing w:val="-10"/>
        </w:rPr>
        <w:t> </w:t>
      </w:r>
      <w:r>
        <w:rPr/>
        <w:t>и</w:t>
      </w:r>
      <w:r>
        <w:rPr>
          <w:spacing w:val="-8"/>
        </w:rPr>
        <w:t> </w:t>
      </w:r>
      <w:r>
        <w:rPr/>
        <w:t>запосленим</w:t>
      </w:r>
      <w:r>
        <w:rPr>
          <w:spacing w:val="-10"/>
        </w:rPr>
        <w:t> </w:t>
      </w:r>
      <w:r>
        <w:rPr/>
        <w:t>становништвом</w:t>
      </w:r>
      <w:r>
        <w:rPr>
          <w:spacing w:val="-10"/>
        </w:rPr>
        <w:t> </w:t>
      </w:r>
      <w:r>
        <w:rPr/>
        <w:t>је на нивоу од око 45%. С обзиром на то да учешће на тржишту рада и запослење умногоме доприносе</w:t>
      </w:r>
      <w:r>
        <w:rPr>
          <w:spacing w:val="-3"/>
        </w:rPr>
        <w:t> </w:t>
      </w:r>
      <w:r>
        <w:rPr/>
        <w:t>економској</w:t>
      </w:r>
      <w:r>
        <w:rPr>
          <w:spacing w:val="-4"/>
        </w:rPr>
        <w:t> </w:t>
      </w:r>
      <w:r>
        <w:rPr/>
        <w:t>независности</w:t>
      </w:r>
      <w:r>
        <w:rPr>
          <w:spacing w:val="-3"/>
        </w:rPr>
        <w:t> </w:t>
      </w:r>
      <w:r>
        <w:rPr/>
        <w:t>и</w:t>
      </w:r>
      <w:r>
        <w:rPr>
          <w:spacing w:val="-1"/>
        </w:rPr>
        <w:t> </w:t>
      </w:r>
      <w:r>
        <w:rPr/>
        <w:t>друштвеној укључености,</w:t>
      </w:r>
      <w:r>
        <w:rPr>
          <w:spacing w:val="-2"/>
        </w:rPr>
        <w:t> </w:t>
      </w:r>
      <w:r>
        <w:rPr/>
        <w:t>ово</w:t>
      </w:r>
      <w:r>
        <w:rPr>
          <w:spacing w:val="-3"/>
        </w:rPr>
        <w:t> </w:t>
      </w:r>
      <w:r>
        <w:rPr/>
        <w:t>је</w:t>
      </w:r>
      <w:r>
        <w:rPr>
          <w:spacing w:val="-3"/>
        </w:rPr>
        <w:t> </w:t>
      </w:r>
      <w:r>
        <w:rPr/>
        <w:t>разлог</w:t>
      </w:r>
      <w:r>
        <w:rPr>
          <w:spacing w:val="-2"/>
        </w:rPr>
        <w:t> </w:t>
      </w:r>
      <w:r>
        <w:rPr/>
        <w:t>због</w:t>
      </w:r>
      <w:r>
        <w:rPr>
          <w:spacing w:val="-5"/>
        </w:rPr>
        <w:t> </w:t>
      </w:r>
      <w:r>
        <w:rPr/>
        <w:t>којег</w:t>
      </w:r>
      <w:r>
        <w:rPr>
          <w:spacing w:val="-3"/>
        </w:rPr>
        <w:t> </w:t>
      </w:r>
      <w:r>
        <w:rPr/>
        <w:t>су жене окарактерисане као рањива група на тржишту рада.</w:t>
      </w:r>
    </w:p>
    <w:p>
      <w:pPr>
        <w:pStyle w:val="BodyText"/>
        <w:spacing w:before="120"/>
        <w:ind w:right="717" w:firstLine="719"/>
      </w:pPr>
      <w:r>
        <w:rPr/>
        <w:t>Стопа активности жена радног узраста била је за 16 п.п. нижа од стопе активности мушкараца</w:t>
      </w:r>
      <w:r>
        <w:rPr>
          <w:spacing w:val="-3"/>
        </w:rPr>
        <w:t> </w:t>
      </w:r>
      <w:r>
        <w:rPr/>
        <w:t>у</w:t>
      </w:r>
      <w:r>
        <w:rPr>
          <w:spacing w:val="-14"/>
        </w:rPr>
        <w:t> </w:t>
      </w:r>
      <w:r>
        <w:rPr/>
        <w:t>2015.</w:t>
      </w:r>
      <w:r>
        <w:rPr>
          <w:spacing w:val="-7"/>
        </w:rPr>
        <w:t> </w:t>
      </w:r>
      <w:r>
        <w:rPr/>
        <w:t>години,</w:t>
      </w:r>
      <w:r>
        <w:rPr>
          <w:spacing w:val="-7"/>
        </w:rPr>
        <w:t> </w:t>
      </w:r>
      <w:r>
        <w:rPr/>
        <w:t>док</w:t>
      </w:r>
      <w:r>
        <w:rPr>
          <w:spacing w:val="-7"/>
        </w:rPr>
        <w:t> </w:t>
      </w:r>
      <w:r>
        <w:rPr/>
        <w:t>су</w:t>
      </w:r>
      <w:r>
        <w:rPr>
          <w:spacing w:val="-7"/>
        </w:rPr>
        <w:t> </w:t>
      </w:r>
      <w:r>
        <w:rPr/>
        <w:t>у</w:t>
      </w:r>
      <w:r>
        <w:rPr>
          <w:spacing w:val="-12"/>
        </w:rPr>
        <w:t> </w:t>
      </w:r>
      <w:r>
        <w:rPr/>
        <w:t>погледу</w:t>
      </w:r>
      <w:r>
        <w:rPr>
          <w:spacing w:val="-10"/>
        </w:rPr>
        <w:t> </w:t>
      </w:r>
      <w:r>
        <w:rPr/>
        <w:t>стопе</w:t>
      </w:r>
      <w:r>
        <w:rPr>
          <w:spacing w:val="-8"/>
        </w:rPr>
        <w:t> </w:t>
      </w:r>
      <w:r>
        <w:rPr/>
        <w:t>запослености</w:t>
      </w:r>
      <w:r>
        <w:rPr>
          <w:spacing w:val="-6"/>
        </w:rPr>
        <w:t> </w:t>
      </w:r>
      <w:r>
        <w:rPr/>
        <w:t>жене</w:t>
      </w:r>
      <w:r>
        <w:rPr>
          <w:spacing w:val="-8"/>
        </w:rPr>
        <w:t> </w:t>
      </w:r>
      <w:r>
        <w:rPr/>
        <w:t>заостајале</w:t>
      </w:r>
      <w:r>
        <w:rPr>
          <w:spacing w:val="-8"/>
        </w:rPr>
        <w:t> </w:t>
      </w:r>
      <w:r>
        <w:rPr/>
        <w:t>за</w:t>
      </w:r>
      <w:r>
        <w:rPr>
          <w:spacing w:val="-8"/>
        </w:rPr>
        <w:t> </w:t>
      </w:r>
      <w:r>
        <w:rPr/>
        <w:t>14,2</w:t>
      </w:r>
      <w:r>
        <w:rPr>
          <w:spacing w:val="-7"/>
        </w:rPr>
        <w:t> </w:t>
      </w:r>
      <w:r>
        <w:rPr/>
        <w:t>п.п. Међутим, последњих пет година обележило је побољшање апсолутног и релативног положаја</w:t>
      </w:r>
      <w:r>
        <w:rPr>
          <w:spacing w:val="-15"/>
        </w:rPr>
        <w:t> </w:t>
      </w:r>
      <w:r>
        <w:rPr/>
        <w:t>жена,</w:t>
      </w:r>
      <w:r>
        <w:rPr>
          <w:spacing w:val="-15"/>
        </w:rPr>
        <w:t> </w:t>
      </w:r>
      <w:r>
        <w:rPr/>
        <w:t>тако</w:t>
      </w:r>
      <w:r>
        <w:rPr>
          <w:spacing w:val="-15"/>
        </w:rPr>
        <w:t> </w:t>
      </w:r>
      <w:r>
        <w:rPr/>
        <w:t>да</w:t>
      </w:r>
      <w:r>
        <w:rPr>
          <w:spacing w:val="-15"/>
        </w:rPr>
        <w:t> </w:t>
      </w:r>
      <w:r>
        <w:rPr/>
        <w:t>су</w:t>
      </w:r>
      <w:r>
        <w:rPr>
          <w:spacing w:val="-15"/>
        </w:rPr>
        <w:t> </w:t>
      </w:r>
      <w:r>
        <w:rPr/>
        <w:t>жене</w:t>
      </w:r>
      <w:r>
        <w:rPr>
          <w:spacing w:val="-15"/>
        </w:rPr>
        <w:t> </w:t>
      </w:r>
      <w:r>
        <w:rPr/>
        <w:t>повећале</w:t>
      </w:r>
      <w:r>
        <w:rPr>
          <w:spacing w:val="-15"/>
        </w:rPr>
        <w:t> </w:t>
      </w:r>
      <w:r>
        <w:rPr/>
        <w:t>стопу</w:t>
      </w:r>
      <w:r>
        <w:rPr>
          <w:spacing w:val="-15"/>
        </w:rPr>
        <w:t> </w:t>
      </w:r>
      <w:r>
        <w:rPr/>
        <w:t>активности</w:t>
      </w:r>
      <w:r>
        <w:rPr>
          <w:spacing w:val="-14"/>
        </w:rPr>
        <w:t> </w:t>
      </w:r>
      <w:r>
        <w:rPr/>
        <w:t>(за</w:t>
      </w:r>
      <w:r>
        <w:rPr>
          <w:spacing w:val="-15"/>
        </w:rPr>
        <w:t> </w:t>
      </w:r>
      <w:r>
        <w:rPr/>
        <w:t>5,7</w:t>
      </w:r>
      <w:r>
        <w:rPr>
          <w:spacing w:val="-13"/>
        </w:rPr>
        <w:t> </w:t>
      </w:r>
      <w:r>
        <w:rPr/>
        <w:t>п.п.)</w:t>
      </w:r>
      <w:r>
        <w:rPr>
          <w:spacing w:val="-15"/>
        </w:rPr>
        <w:t> </w:t>
      </w:r>
      <w:r>
        <w:rPr/>
        <w:t>и</w:t>
      </w:r>
      <w:r>
        <w:rPr>
          <w:spacing w:val="-14"/>
        </w:rPr>
        <w:t> </w:t>
      </w:r>
      <w:r>
        <w:rPr/>
        <w:t>стопу</w:t>
      </w:r>
      <w:r>
        <w:rPr>
          <w:spacing w:val="-15"/>
        </w:rPr>
        <w:t> </w:t>
      </w:r>
      <w:r>
        <w:rPr/>
        <w:t>запослености (за 9,4 п.п.). Без обзира на ове помаке, родни јаз и даље је присутан према свим индикаторима</w:t>
      </w:r>
      <w:r>
        <w:rPr>
          <w:spacing w:val="-12"/>
        </w:rPr>
        <w:t> </w:t>
      </w:r>
      <w:r>
        <w:rPr/>
        <w:t>тржишта</w:t>
      </w:r>
      <w:r>
        <w:rPr>
          <w:spacing w:val="-11"/>
        </w:rPr>
        <w:t> </w:t>
      </w:r>
      <w:r>
        <w:rPr/>
        <w:t>рада</w:t>
      </w:r>
      <w:r>
        <w:rPr>
          <w:spacing w:val="-9"/>
        </w:rPr>
        <w:t> </w:t>
      </w:r>
      <w:r>
        <w:rPr/>
        <w:t>Србије</w:t>
      </w:r>
      <w:r>
        <w:rPr>
          <w:spacing w:val="-11"/>
        </w:rPr>
        <w:t> </w:t>
      </w:r>
      <w:r>
        <w:rPr/>
        <w:t>-</w:t>
      </w:r>
      <w:r>
        <w:rPr>
          <w:spacing w:val="-11"/>
        </w:rPr>
        <w:t> </w:t>
      </w:r>
      <w:r>
        <w:rPr/>
        <w:t>жене</w:t>
      </w:r>
      <w:r>
        <w:rPr>
          <w:spacing w:val="-12"/>
        </w:rPr>
        <w:t> </w:t>
      </w:r>
      <w:r>
        <w:rPr/>
        <w:t>су</w:t>
      </w:r>
      <w:r>
        <w:rPr>
          <w:spacing w:val="-11"/>
        </w:rPr>
        <w:t> </w:t>
      </w:r>
      <w:r>
        <w:rPr/>
        <w:t>у</w:t>
      </w:r>
      <w:r>
        <w:rPr>
          <w:spacing w:val="-13"/>
        </w:rPr>
        <w:t> </w:t>
      </w:r>
      <w:r>
        <w:rPr/>
        <w:t>знатно</w:t>
      </w:r>
      <w:r>
        <w:rPr>
          <w:spacing w:val="-13"/>
        </w:rPr>
        <w:t> </w:t>
      </w:r>
      <w:r>
        <w:rPr/>
        <w:t>неповољнијој</w:t>
      </w:r>
      <w:r>
        <w:rPr>
          <w:spacing w:val="-10"/>
        </w:rPr>
        <w:t> </w:t>
      </w:r>
      <w:r>
        <w:rPr/>
        <w:t>ситуацији</w:t>
      </w:r>
      <w:r>
        <w:rPr>
          <w:spacing w:val="-12"/>
        </w:rPr>
        <w:t> </w:t>
      </w:r>
      <w:r>
        <w:rPr/>
        <w:t>него</w:t>
      </w:r>
      <w:r>
        <w:rPr>
          <w:spacing w:val="-11"/>
        </w:rPr>
        <w:t> </w:t>
      </w:r>
      <w:r>
        <w:rPr/>
        <w:t>мушки део популације.</w:t>
      </w:r>
    </w:p>
    <w:p>
      <w:pPr>
        <w:pStyle w:val="BodyText"/>
        <w:spacing w:line="264" w:lineRule="auto" w:before="123"/>
        <w:ind w:left="3965" w:right="971" w:hanging="3354"/>
      </w:pPr>
      <w:r>
        <w:rPr/>
        <w:t>Табела</w:t>
      </w:r>
      <w:r>
        <w:rPr>
          <w:spacing w:val="-5"/>
        </w:rPr>
        <w:t> </w:t>
      </w:r>
      <w:r>
        <w:rPr/>
        <w:t>6.</w:t>
      </w:r>
      <w:r>
        <w:rPr>
          <w:spacing w:val="80"/>
        </w:rPr>
        <w:t> </w:t>
      </w:r>
      <w:r>
        <w:rPr/>
        <w:t>Основни</w:t>
      </w:r>
      <w:r>
        <w:rPr>
          <w:spacing w:val="-3"/>
        </w:rPr>
        <w:t> </w:t>
      </w:r>
      <w:r>
        <w:rPr/>
        <w:t>показатељи</w:t>
      </w:r>
      <w:r>
        <w:rPr>
          <w:spacing w:val="-3"/>
        </w:rPr>
        <w:t> </w:t>
      </w:r>
      <w:r>
        <w:rPr/>
        <w:t>тржишта</w:t>
      </w:r>
      <w:r>
        <w:rPr>
          <w:spacing w:val="-4"/>
        </w:rPr>
        <w:t> </w:t>
      </w:r>
      <w:r>
        <w:rPr/>
        <w:t>рада</w:t>
      </w:r>
      <w:r>
        <w:rPr>
          <w:spacing w:val="-5"/>
        </w:rPr>
        <w:t> </w:t>
      </w:r>
      <w:r>
        <w:rPr/>
        <w:t>за</w:t>
      </w:r>
      <w:r>
        <w:rPr>
          <w:spacing w:val="-5"/>
        </w:rPr>
        <w:t> </w:t>
      </w:r>
      <w:r>
        <w:rPr/>
        <w:t>становништво</w:t>
      </w:r>
      <w:r>
        <w:rPr>
          <w:spacing w:val="-1"/>
        </w:rPr>
        <w:t> </w:t>
      </w:r>
      <w:r>
        <w:rPr/>
        <w:t>радног</w:t>
      </w:r>
      <w:r>
        <w:rPr>
          <w:spacing w:val="-2"/>
        </w:rPr>
        <w:t> </w:t>
      </w:r>
      <w:r>
        <w:rPr/>
        <w:t>узраста</w:t>
      </w:r>
      <w:r>
        <w:rPr>
          <w:spacing w:val="-4"/>
        </w:rPr>
        <w:t> </w:t>
      </w:r>
      <w:r>
        <w:rPr/>
        <w:t>према полу, у %, 2015-2019</w:t>
      </w:r>
    </w:p>
    <w:p>
      <w:pPr>
        <w:pStyle w:val="BodyText"/>
        <w:spacing w:before="10" w:after="1"/>
        <w:ind w:left="0"/>
        <w:jc w:val="left"/>
        <w:rPr>
          <w:sz w:val="1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4"/>
        <w:gridCol w:w="1087"/>
        <w:gridCol w:w="935"/>
        <w:gridCol w:w="936"/>
        <w:gridCol w:w="936"/>
        <w:gridCol w:w="784"/>
        <w:gridCol w:w="1134"/>
      </w:tblGrid>
      <w:tr>
        <w:trPr>
          <w:trHeight w:val="366" w:hRule="atLeast"/>
        </w:trPr>
        <w:tc>
          <w:tcPr>
            <w:tcW w:w="3404" w:type="dxa"/>
            <w:vMerge w:val="restart"/>
            <w:tcBorders>
              <w:top w:val="single" w:sz="4" w:space="0" w:color="000000"/>
              <w:bottom w:val="single" w:sz="4" w:space="0" w:color="000000"/>
              <w:right w:val="single" w:sz="4" w:space="0" w:color="000000"/>
            </w:tcBorders>
          </w:tcPr>
          <w:p>
            <w:pPr>
              <w:pStyle w:val="TableParagraph"/>
              <w:rPr>
                <w:sz w:val="22"/>
              </w:rPr>
            </w:pPr>
          </w:p>
        </w:tc>
        <w:tc>
          <w:tcPr>
            <w:tcW w:w="1087" w:type="dxa"/>
            <w:tcBorders>
              <w:top w:val="single" w:sz="4" w:space="0" w:color="000000"/>
              <w:left w:val="single" w:sz="4" w:space="0" w:color="000000"/>
              <w:bottom w:val="single" w:sz="4" w:space="0" w:color="000000"/>
            </w:tcBorders>
          </w:tcPr>
          <w:p>
            <w:pPr>
              <w:pStyle w:val="TableParagraph"/>
              <w:spacing w:before="67"/>
              <w:ind w:right="254"/>
              <w:jc w:val="right"/>
              <w:rPr>
                <w:b/>
                <w:sz w:val="20"/>
              </w:rPr>
            </w:pPr>
            <w:r>
              <w:rPr>
                <w:b/>
                <w:spacing w:val="-4"/>
                <w:sz w:val="20"/>
              </w:rPr>
              <w:t>2015</w:t>
            </w:r>
          </w:p>
        </w:tc>
        <w:tc>
          <w:tcPr>
            <w:tcW w:w="935" w:type="dxa"/>
            <w:tcBorders>
              <w:top w:val="single" w:sz="4" w:space="0" w:color="000000"/>
              <w:bottom w:val="single" w:sz="4" w:space="0" w:color="000000"/>
            </w:tcBorders>
          </w:tcPr>
          <w:p>
            <w:pPr>
              <w:pStyle w:val="TableParagraph"/>
              <w:spacing w:before="67"/>
              <w:ind w:left="63" w:right="48"/>
              <w:jc w:val="center"/>
              <w:rPr>
                <w:b/>
                <w:sz w:val="20"/>
              </w:rPr>
            </w:pPr>
            <w:r>
              <w:rPr>
                <w:b/>
                <w:spacing w:val="-4"/>
                <w:sz w:val="20"/>
              </w:rPr>
              <w:t>2016</w:t>
            </w:r>
          </w:p>
        </w:tc>
        <w:tc>
          <w:tcPr>
            <w:tcW w:w="936" w:type="dxa"/>
            <w:tcBorders>
              <w:top w:val="single" w:sz="4" w:space="0" w:color="000000"/>
              <w:bottom w:val="single" w:sz="4" w:space="0" w:color="000000"/>
            </w:tcBorders>
          </w:tcPr>
          <w:p>
            <w:pPr>
              <w:pStyle w:val="TableParagraph"/>
              <w:spacing w:before="67"/>
              <w:ind w:left="169" w:right="152"/>
              <w:jc w:val="center"/>
              <w:rPr>
                <w:b/>
                <w:sz w:val="20"/>
              </w:rPr>
            </w:pPr>
            <w:r>
              <w:rPr>
                <w:b/>
                <w:spacing w:val="-4"/>
                <w:sz w:val="20"/>
              </w:rPr>
              <w:t>2017</w:t>
            </w:r>
          </w:p>
        </w:tc>
        <w:tc>
          <w:tcPr>
            <w:tcW w:w="936" w:type="dxa"/>
            <w:tcBorders>
              <w:top w:val="single" w:sz="4" w:space="0" w:color="000000"/>
              <w:bottom w:val="single" w:sz="4" w:space="0" w:color="000000"/>
            </w:tcBorders>
          </w:tcPr>
          <w:p>
            <w:pPr>
              <w:pStyle w:val="TableParagraph"/>
              <w:spacing w:before="67"/>
              <w:ind w:left="169" w:right="152"/>
              <w:jc w:val="center"/>
              <w:rPr>
                <w:b/>
                <w:sz w:val="20"/>
              </w:rPr>
            </w:pPr>
            <w:r>
              <w:rPr>
                <w:b/>
                <w:spacing w:val="-4"/>
                <w:sz w:val="20"/>
              </w:rPr>
              <w:t>2018</w:t>
            </w:r>
          </w:p>
        </w:tc>
        <w:tc>
          <w:tcPr>
            <w:tcW w:w="784" w:type="dxa"/>
            <w:tcBorders>
              <w:top w:val="single" w:sz="4" w:space="0" w:color="000000"/>
              <w:bottom w:val="single" w:sz="4" w:space="0" w:color="000000"/>
              <w:right w:val="single" w:sz="4" w:space="0" w:color="000000"/>
            </w:tcBorders>
          </w:tcPr>
          <w:p>
            <w:pPr>
              <w:pStyle w:val="TableParagraph"/>
              <w:spacing w:before="67"/>
              <w:ind w:right="98"/>
              <w:jc w:val="right"/>
              <w:rPr>
                <w:b/>
                <w:sz w:val="20"/>
              </w:rPr>
            </w:pPr>
            <w:r>
              <w:rPr>
                <w:b/>
                <w:spacing w:val="-4"/>
                <w:sz w:val="20"/>
              </w:rPr>
              <w:t>2019</w:t>
            </w:r>
          </w:p>
        </w:tc>
        <w:tc>
          <w:tcPr>
            <w:tcW w:w="1134" w:type="dxa"/>
            <w:tcBorders>
              <w:top w:val="single" w:sz="4" w:space="0" w:color="000000"/>
              <w:left w:val="single" w:sz="4" w:space="0" w:color="000000"/>
              <w:bottom w:val="single" w:sz="4" w:space="0" w:color="000000"/>
            </w:tcBorders>
          </w:tcPr>
          <w:p>
            <w:pPr>
              <w:pStyle w:val="TableParagraph"/>
              <w:spacing w:line="182" w:lineRule="exact"/>
              <w:ind w:left="218" w:firstLine="19"/>
              <w:rPr>
                <w:b/>
                <w:sz w:val="16"/>
              </w:rPr>
            </w:pPr>
            <w:r>
              <w:rPr>
                <w:b/>
                <w:spacing w:val="-2"/>
                <w:sz w:val="16"/>
              </w:rPr>
              <w:t>Промена</w:t>
            </w:r>
            <w:r>
              <w:rPr>
                <w:b/>
                <w:spacing w:val="40"/>
                <w:sz w:val="16"/>
              </w:rPr>
              <w:t> </w:t>
            </w:r>
            <w:r>
              <w:rPr>
                <w:b/>
                <w:spacing w:val="-2"/>
                <w:sz w:val="16"/>
              </w:rPr>
              <w:t>2019/2015</w:t>
            </w:r>
          </w:p>
        </w:tc>
      </w:tr>
      <w:tr>
        <w:trPr>
          <w:trHeight w:val="321" w:hRule="atLeast"/>
        </w:trPr>
        <w:tc>
          <w:tcPr>
            <w:tcW w:w="3404" w:type="dxa"/>
            <w:vMerge/>
            <w:tcBorders>
              <w:top w:val="nil"/>
              <w:bottom w:val="single" w:sz="4" w:space="0" w:color="000000"/>
              <w:right w:val="single" w:sz="4" w:space="0" w:color="000000"/>
            </w:tcBorders>
          </w:tcPr>
          <w:p>
            <w:pPr>
              <w:rPr>
                <w:sz w:val="2"/>
                <w:szCs w:val="2"/>
              </w:rPr>
            </w:pPr>
          </w:p>
        </w:tc>
        <w:tc>
          <w:tcPr>
            <w:tcW w:w="4678" w:type="dxa"/>
            <w:gridSpan w:val="5"/>
            <w:tcBorders>
              <w:top w:val="single" w:sz="4" w:space="0" w:color="000000"/>
              <w:left w:val="single" w:sz="4" w:space="0" w:color="000000"/>
              <w:bottom w:val="single" w:sz="4" w:space="0" w:color="000000"/>
              <w:right w:val="single" w:sz="4" w:space="0" w:color="000000"/>
            </w:tcBorders>
          </w:tcPr>
          <w:p>
            <w:pPr>
              <w:pStyle w:val="TableParagraph"/>
              <w:spacing w:before="57"/>
              <w:ind w:right="1"/>
              <w:jc w:val="center"/>
              <w:rPr>
                <w:b/>
                <w:sz w:val="18"/>
              </w:rPr>
            </w:pPr>
            <w:r>
              <w:rPr>
                <w:b/>
                <w:sz w:val="18"/>
              </w:rPr>
              <w:t>Стопе,</w:t>
            </w:r>
            <w:r>
              <w:rPr>
                <w:b/>
                <w:spacing w:val="-2"/>
                <w:sz w:val="18"/>
              </w:rPr>
              <w:t> </w:t>
            </w:r>
            <w:r>
              <w:rPr>
                <w:b/>
                <w:sz w:val="18"/>
              </w:rPr>
              <w:t>у</w:t>
            </w:r>
            <w:r>
              <w:rPr>
                <w:b/>
                <w:spacing w:val="1"/>
                <w:sz w:val="18"/>
              </w:rPr>
              <w:t> </w:t>
            </w:r>
            <w:r>
              <w:rPr>
                <w:b/>
                <w:spacing w:val="-10"/>
                <w:sz w:val="18"/>
              </w:rPr>
              <w:t>%</w:t>
            </w:r>
          </w:p>
        </w:tc>
        <w:tc>
          <w:tcPr>
            <w:tcW w:w="1134" w:type="dxa"/>
            <w:tcBorders>
              <w:top w:val="single" w:sz="4" w:space="0" w:color="000000"/>
              <w:left w:val="single" w:sz="4" w:space="0" w:color="000000"/>
              <w:bottom w:val="single" w:sz="4" w:space="0" w:color="000000"/>
            </w:tcBorders>
          </w:tcPr>
          <w:p>
            <w:pPr>
              <w:pStyle w:val="TableParagraph"/>
              <w:spacing w:line="160" w:lineRule="exact"/>
              <w:ind w:left="415" w:right="224" w:hanging="195"/>
              <w:rPr>
                <w:b/>
                <w:sz w:val="14"/>
              </w:rPr>
            </w:pPr>
            <w:r>
              <w:rPr>
                <w:b/>
                <w:spacing w:val="-2"/>
                <w:sz w:val="14"/>
              </w:rPr>
              <w:t>процентни</w:t>
            </w:r>
            <w:r>
              <w:rPr>
                <w:b/>
                <w:spacing w:val="40"/>
                <w:sz w:val="14"/>
              </w:rPr>
              <w:t> </w:t>
            </w:r>
            <w:r>
              <w:rPr>
                <w:b/>
                <w:spacing w:val="-4"/>
                <w:sz w:val="14"/>
              </w:rPr>
              <w:t>поен</w:t>
            </w:r>
          </w:p>
        </w:tc>
      </w:tr>
      <w:tr>
        <w:trPr>
          <w:trHeight w:val="301" w:hRule="atLeast"/>
        </w:trPr>
        <w:tc>
          <w:tcPr>
            <w:tcW w:w="3404" w:type="dxa"/>
            <w:tcBorders>
              <w:top w:val="single" w:sz="4" w:space="0" w:color="000000"/>
              <w:right w:val="single" w:sz="4" w:space="0" w:color="000000"/>
            </w:tcBorders>
          </w:tcPr>
          <w:p>
            <w:pPr>
              <w:pStyle w:val="TableParagraph"/>
              <w:spacing w:before="34"/>
              <w:ind w:left="108"/>
              <w:rPr>
                <w:b/>
                <w:sz w:val="20"/>
              </w:rPr>
            </w:pPr>
            <w:r>
              <w:rPr>
                <w:b/>
                <w:sz w:val="20"/>
              </w:rPr>
              <w:t>Родни</w:t>
            </w:r>
            <w:r>
              <w:rPr>
                <w:b/>
                <w:spacing w:val="-5"/>
                <w:sz w:val="20"/>
              </w:rPr>
              <w:t> </w:t>
            </w:r>
            <w:r>
              <w:rPr>
                <w:b/>
                <w:sz w:val="20"/>
              </w:rPr>
              <w:t>јаз</w:t>
            </w:r>
            <w:r>
              <w:rPr>
                <w:b/>
                <w:spacing w:val="-5"/>
                <w:sz w:val="20"/>
              </w:rPr>
              <w:t> </w:t>
            </w:r>
            <w:r>
              <w:rPr>
                <w:b/>
                <w:sz w:val="20"/>
              </w:rPr>
              <w:t>у</w:t>
            </w:r>
            <w:r>
              <w:rPr>
                <w:b/>
                <w:spacing w:val="-3"/>
                <w:sz w:val="20"/>
              </w:rPr>
              <w:t> </w:t>
            </w:r>
            <w:r>
              <w:rPr>
                <w:b/>
                <w:sz w:val="20"/>
              </w:rPr>
              <w:t>стопи</w:t>
            </w:r>
            <w:r>
              <w:rPr>
                <w:b/>
                <w:spacing w:val="-5"/>
                <w:sz w:val="20"/>
              </w:rPr>
              <w:t> </w:t>
            </w:r>
            <w:r>
              <w:rPr>
                <w:b/>
                <w:spacing w:val="-2"/>
                <w:sz w:val="20"/>
              </w:rPr>
              <w:t>активности</w:t>
            </w:r>
          </w:p>
        </w:tc>
        <w:tc>
          <w:tcPr>
            <w:tcW w:w="1087" w:type="dxa"/>
            <w:tcBorders>
              <w:top w:val="single" w:sz="4" w:space="0" w:color="000000"/>
              <w:left w:val="single" w:sz="4" w:space="0" w:color="000000"/>
            </w:tcBorders>
          </w:tcPr>
          <w:p>
            <w:pPr>
              <w:pStyle w:val="TableParagraph"/>
              <w:ind w:right="256"/>
              <w:jc w:val="right"/>
              <w:rPr>
                <w:b/>
                <w:sz w:val="20"/>
              </w:rPr>
            </w:pPr>
            <w:r>
              <w:rPr>
                <w:b/>
                <w:spacing w:val="-2"/>
                <w:sz w:val="20"/>
              </w:rPr>
              <w:t>-</w:t>
            </w:r>
            <w:r>
              <w:rPr>
                <w:b/>
                <w:spacing w:val="-4"/>
                <w:sz w:val="20"/>
              </w:rPr>
              <w:t>16,0</w:t>
            </w:r>
          </w:p>
        </w:tc>
        <w:tc>
          <w:tcPr>
            <w:tcW w:w="935" w:type="dxa"/>
            <w:tcBorders>
              <w:top w:val="single" w:sz="4" w:space="0" w:color="000000"/>
            </w:tcBorders>
          </w:tcPr>
          <w:p>
            <w:pPr>
              <w:pStyle w:val="TableParagraph"/>
              <w:ind w:left="63" w:right="64"/>
              <w:jc w:val="center"/>
              <w:rPr>
                <w:b/>
                <w:sz w:val="20"/>
              </w:rPr>
            </w:pPr>
            <w:r>
              <w:rPr>
                <w:b/>
                <w:spacing w:val="-2"/>
                <w:sz w:val="20"/>
              </w:rPr>
              <w:t>-</w:t>
            </w:r>
            <w:r>
              <w:rPr>
                <w:b/>
                <w:spacing w:val="-4"/>
                <w:sz w:val="20"/>
              </w:rPr>
              <w:t>15,0</w:t>
            </w:r>
          </w:p>
        </w:tc>
        <w:tc>
          <w:tcPr>
            <w:tcW w:w="936" w:type="dxa"/>
            <w:tcBorders>
              <w:top w:val="single" w:sz="4" w:space="0" w:color="000000"/>
            </w:tcBorders>
          </w:tcPr>
          <w:p>
            <w:pPr>
              <w:pStyle w:val="TableParagraph"/>
              <w:ind w:left="169" w:right="170"/>
              <w:jc w:val="center"/>
              <w:rPr>
                <w:b/>
                <w:sz w:val="20"/>
              </w:rPr>
            </w:pPr>
            <w:r>
              <w:rPr>
                <w:b/>
                <w:spacing w:val="-2"/>
                <w:sz w:val="20"/>
              </w:rPr>
              <w:t>-</w:t>
            </w:r>
            <w:r>
              <w:rPr>
                <w:b/>
                <w:spacing w:val="-4"/>
                <w:sz w:val="20"/>
              </w:rPr>
              <w:t>14,2</w:t>
            </w:r>
          </w:p>
        </w:tc>
        <w:tc>
          <w:tcPr>
            <w:tcW w:w="936" w:type="dxa"/>
            <w:tcBorders>
              <w:top w:val="single" w:sz="4" w:space="0" w:color="000000"/>
            </w:tcBorders>
          </w:tcPr>
          <w:p>
            <w:pPr>
              <w:pStyle w:val="TableParagraph"/>
              <w:ind w:left="169" w:right="170"/>
              <w:jc w:val="center"/>
              <w:rPr>
                <w:b/>
                <w:sz w:val="20"/>
              </w:rPr>
            </w:pPr>
            <w:r>
              <w:rPr>
                <w:b/>
                <w:spacing w:val="-2"/>
                <w:sz w:val="20"/>
              </w:rPr>
              <w:t>-</w:t>
            </w:r>
            <w:r>
              <w:rPr>
                <w:b/>
                <w:spacing w:val="-4"/>
                <w:sz w:val="20"/>
              </w:rPr>
              <w:t>14,5</w:t>
            </w:r>
          </w:p>
        </w:tc>
        <w:tc>
          <w:tcPr>
            <w:tcW w:w="784" w:type="dxa"/>
            <w:tcBorders>
              <w:top w:val="single" w:sz="4" w:space="0" w:color="000000"/>
              <w:right w:val="single" w:sz="4" w:space="0" w:color="000000"/>
            </w:tcBorders>
          </w:tcPr>
          <w:p>
            <w:pPr>
              <w:pStyle w:val="TableParagraph"/>
              <w:ind w:right="100"/>
              <w:jc w:val="right"/>
              <w:rPr>
                <w:b/>
                <w:sz w:val="20"/>
              </w:rPr>
            </w:pPr>
            <w:r>
              <w:rPr>
                <w:b/>
                <w:spacing w:val="-2"/>
                <w:sz w:val="20"/>
              </w:rPr>
              <w:t>-</w:t>
            </w:r>
            <w:r>
              <w:rPr>
                <w:b/>
                <w:spacing w:val="-4"/>
                <w:sz w:val="20"/>
              </w:rPr>
              <w:t>13,6</w:t>
            </w:r>
          </w:p>
        </w:tc>
        <w:tc>
          <w:tcPr>
            <w:tcW w:w="1134" w:type="dxa"/>
            <w:tcBorders>
              <w:top w:val="single" w:sz="4" w:space="0" w:color="000000"/>
              <w:left w:val="single" w:sz="4" w:space="0" w:color="000000"/>
            </w:tcBorders>
          </w:tcPr>
          <w:p>
            <w:pPr>
              <w:pStyle w:val="TableParagraph"/>
              <w:rPr>
                <w:sz w:val="22"/>
              </w:rPr>
            </w:pPr>
          </w:p>
        </w:tc>
      </w:tr>
      <w:tr>
        <w:trPr>
          <w:trHeight w:val="297" w:hRule="atLeast"/>
        </w:trPr>
        <w:tc>
          <w:tcPr>
            <w:tcW w:w="3404" w:type="dxa"/>
            <w:tcBorders>
              <w:right w:val="single" w:sz="4" w:space="0" w:color="000000"/>
            </w:tcBorders>
          </w:tcPr>
          <w:p>
            <w:pPr>
              <w:pStyle w:val="TableParagraph"/>
              <w:spacing w:before="28"/>
              <w:ind w:left="561"/>
              <w:rPr>
                <w:i/>
                <w:sz w:val="20"/>
              </w:rPr>
            </w:pPr>
            <w:r>
              <w:rPr>
                <w:i/>
                <w:spacing w:val="-2"/>
                <w:sz w:val="20"/>
              </w:rPr>
              <w:t>Мушкарци</w:t>
            </w:r>
          </w:p>
        </w:tc>
        <w:tc>
          <w:tcPr>
            <w:tcW w:w="1087" w:type="dxa"/>
            <w:tcBorders>
              <w:left w:val="single" w:sz="4" w:space="0" w:color="000000"/>
            </w:tcBorders>
          </w:tcPr>
          <w:p>
            <w:pPr>
              <w:pStyle w:val="TableParagraph"/>
              <w:spacing w:before="28"/>
              <w:ind w:right="256"/>
              <w:jc w:val="right"/>
              <w:rPr>
                <w:i/>
                <w:sz w:val="20"/>
              </w:rPr>
            </w:pPr>
            <w:r>
              <w:rPr>
                <w:i/>
                <w:spacing w:val="-4"/>
                <w:sz w:val="20"/>
              </w:rPr>
              <w:t>71,6</w:t>
            </w:r>
          </w:p>
        </w:tc>
        <w:tc>
          <w:tcPr>
            <w:tcW w:w="935" w:type="dxa"/>
          </w:tcPr>
          <w:p>
            <w:pPr>
              <w:pStyle w:val="TableParagraph"/>
              <w:spacing w:before="28"/>
              <w:ind w:left="64" w:right="1"/>
              <w:jc w:val="center"/>
              <w:rPr>
                <w:i/>
                <w:sz w:val="20"/>
              </w:rPr>
            </w:pPr>
            <w:r>
              <w:rPr>
                <w:i/>
                <w:spacing w:val="-4"/>
                <w:sz w:val="20"/>
              </w:rPr>
              <w:t>73,1</w:t>
            </w:r>
          </w:p>
        </w:tc>
        <w:tc>
          <w:tcPr>
            <w:tcW w:w="936" w:type="dxa"/>
          </w:tcPr>
          <w:p>
            <w:pPr>
              <w:pStyle w:val="TableParagraph"/>
              <w:spacing w:before="28"/>
              <w:ind w:left="169" w:right="104"/>
              <w:jc w:val="center"/>
              <w:rPr>
                <w:i/>
                <w:sz w:val="20"/>
              </w:rPr>
            </w:pPr>
            <w:r>
              <w:rPr>
                <w:i/>
                <w:spacing w:val="-4"/>
                <w:sz w:val="20"/>
              </w:rPr>
              <w:t>73,8</w:t>
            </w:r>
          </w:p>
        </w:tc>
        <w:tc>
          <w:tcPr>
            <w:tcW w:w="936" w:type="dxa"/>
          </w:tcPr>
          <w:p>
            <w:pPr>
              <w:pStyle w:val="TableParagraph"/>
              <w:spacing w:before="28"/>
              <w:ind w:left="169" w:right="104"/>
              <w:jc w:val="center"/>
              <w:rPr>
                <w:i/>
                <w:sz w:val="20"/>
              </w:rPr>
            </w:pPr>
            <w:r>
              <w:rPr>
                <w:i/>
                <w:spacing w:val="-4"/>
                <w:sz w:val="20"/>
              </w:rPr>
              <w:t>75,1</w:t>
            </w:r>
          </w:p>
        </w:tc>
        <w:tc>
          <w:tcPr>
            <w:tcW w:w="784" w:type="dxa"/>
            <w:tcBorders>
              <w:right w:val="single" w:sz="4" w:space="0" w:color="000000"/>
            </w:tcBorders>
          </w:tcPr>
          <w:p>
            <w:pPr>
              <w:pStyle w:val="TableParagraph"/>
              <w:spacing w:before="28"/>
              <w:ind w:right="100"/>
              <w:jc w:val="right"/>
              <w:rPr>
                <w:i/>
                <w:sz w:val="20"/>
              </w:rPr>
            </w:pPr>
            <w:r>
              <w:rPr>
                <w:i/>
                <w:spacing w:val="-4"/>
                <w:sz w:val="20"/>
              </w:rPr>
              <w:t>74,9</w:t>
            </w:r>
          </w:p>
        </w:tc>
        <w:tc>
          <w:tcPr>
            <w:tcW w:w="1134" w:type="dxa"/>
            <w:tcBorders>
              <w:left w:val="single" w:sz="4" w:space="0" w:color="000000"/>
            </w:tcBorders>
          </w:tcPr>
          <w:p>
            <w:pPr>
              <w:pStyle w:val="TableParagraph"/>
              <w:spacing w:before="28"/>
              <w:ind w:right="106"/>
              <w:jc w:val="right"/>
              <w:rPr>
                <w:i/>
                <w:sz w:val="20"/>
              </w:rPr>
            </w:pPr>
            <w:r>
              <w:rPr>
                <w:i/>
                <w:spacing w:val="-5"/>
                <w:sz w:val="20"/>
              </w:rPr>
              <w:t>3,3</w:t>
            </w:r>
          </w:p>
        </w:tc>
      </w:tr>
      <w:tr>
        <w:trPr>
          <w:trHeight w:val="303" w:hRule="atLeast"/>
        </w:trPr>
        <w:tc>
          <w:tcPr>
            <w:tcW w:w="3404" w:type="dxa"/>
            <w:tcBorders>
              <w:right w:val="single" w:sz="4" w:space="0" w:color="000000"/>
            </w:tcBorders>
          </w:tcPr>
          <w:p>
            <w:pPr>
              <w:pStyle w:val="TableParagraph"/>
              <w:spacing w:before="30"/>
              <w:ind w:left="511"/>
              <w:rPr>
                <w:i/>
                <w:sz w:val="20"/>
              </w:rPr>
            </w:pPr>
            <w:r>
              <w:rPr>
                <w:i/>
                <w:spacing w:val="-4"/>
                <w:sz w:val="20"/>
              </w:rPr>
              <w:t>Жене</w:t>
            </w:r>
          </w:p>
        </w:tc>
        <w:tc>
          <w:tcPr>
            <w:tcW w:w="1087" w:type="dxa"/>
            <w:tcBorders>
              <w:left w:val="single" w:sz="4" w:space="0" w:color="000000"/>
            </w:tcBorders>
          </w:tcPr>
          <w:p>
            <w:pPr>
              <w:pStyle w:val="TableParagraph"/>
              <w:spacing w:before="30"/>
              <w:ind w:right="256"/>
              <w:jc w:val="right"/>
              <w:rPr>
                <w:i/>
                <w:sz w:val="20"/>
              </w:rPr>
            </w:pPr>
            <w:r>
              <w:rPr>
                <w:i/>
                <w:spacing w:val="-4"/>
                <w:sz w:val="20"/>
              </w:rPr>
              <w:t>55,6</w:t>
            </w:r>
          </w:p>
        </w:tc>
        <w:tc>
          <w:tcPr>
            <w:tcW w:w="935" w:type="dxa"/>
          </w:tcPr>
          <w:p>
            <w:pPr>
              <w:pStyle w:val="TableParagraph"/>
              <w:spacing w:before="30"/>
              <w:ind w:left="64" w:right="1"/>
              <w:jc w:val="center"/>
              <w:rPr>
                <w:i/>
                <w:sz w:val="20"/>
              </w:rPr>
            </w:pPr>
            <w:r>
              <w:rPr>
                <w:i/>
                <w:spacing w:val="-4"/>
                <w:sz w:val="20"/>
              </w:rPr>
              <w:t>58,1</w:t>
            </w:r>
          </w:p>
        </w:tc>
        <w:tc>
          <w:tcPr>
            <w:tcW w:w="936" w:type="dxa"/>
          </w:tcPr>
          <w:p>
            <w:pPr>
              <w:pStyle w:val="TableParagraph"/>
              <w:spacing w:before="30"/>
              <w:ind w:left="169" w:right="104"/>
              <w:jc w:val="center"/>
              <w:rPr>
                <w:i/>
                <w:sz w:val="20"/>
              </w:rPr>
            </w:pPr>
            <w:r>
              <w:rPr>
                <w:i/>
                <w:spacing w:val="-4"/>
                <w:sz w:val="20"/>
              </w:rPr>
              <w:t>59,6</w:t>
            </w:r>
          </w:p>
        </w:tc>
        <w:tc>
          <w:tcPr>
            <w:tcW w:w="936" w:type="dxa"/>
          </w:tcPr>
          <w:p>
            <w:pPr>
              <w:pStyle w:val="TableParagraph"/>
              <w:spacing w:before="30"/>
              <w:ind w:left="169" w:right="104"/>
              <w:jc w:val="center"/>
              <w:rPr>
                <w:i/>
                <w:sz w:val="20"/>
              </w:rPr>
            </w:pPr>
            <w:r>
              <w:rPr>
                <w:i/>
                <w:spacing w:val="-4"/>
                <w:sz w:val="20"/>
              </w:rPr>
              <w:t>60,6</w:t>
            </w:r>
          </w:p>
        </w:tc>
        <w:tc>
          <w:tcPr>
            <w:tcW w:w="784" w:type="dxa"/>
            <w:tcBorders>
              <w:right w:val="single" w:sz="4" w:space="0" w:color="000000"/>
            </w:tcBorders>
          </w:tcPr>
          <w:p>
            <w:pPr>
              <w:pStyle w:val="TableParagraph"/>
              <w:spacing w:before="30"/>
              <w:ind w:right="100"/>
              <w:jc w:val="right"/>
              <w:rPr>
                <w:i/>
                <w:sz w:val="20"/>
              </w:rPr>
            </w:pPr>
            <w:r>
              <w:rPr>
                <w:i/>
                <w:spacing w:val="-4"/>
                <w:sz w:val="20"/>
              </w:rPr>
              <w:t>61,3</w:t>
            </w:r>
          </w:p>
        </w:tc>
        <w:tc>
          <w:tcPr>
            <w:tcW w:w="1134" w:type="dxa"/>
            <w:tcBorders>
              <w:left w:val="single" w:sz="4" w:space="0" w:color="000000"/>
            </w:tcBorders>
          </w:tcPr>
          <w:p>
            <w:pPr>
              <w:pStyle w:val="TableParagraph"/>
              <w:spacing w:before="30"/>
              <w:ind w:right="106"/>
              <w:jc w:val="right"/>
              <w:rPr>
                <w:i/>
                <w:sz w:val="20"/>
              </w:rPr>
            </w:pPr>
            <w:r>
              <w:rPr>
                <w:i/>
                <w:spacing w:val="-5"/>
                <w:sz w:val="20"/>
              </w:rPr>
              <w:t>5,7</w:t>
            </w:r>
          </w:p>
        </w:tc>
      </w:tr>
    </w:tbl>
    <w:p>
      <w:pPr>
        <w:pStyle w:val="BodyText"/>
        <w:spacing w:before="2"/>
        <w:ind w:left="0"/>
        <w:jc w:val="left"/>
        <w:rPr>
          <w:sz w:val="14"/>
        </w:rPr>
      </w:pPr>
      <w:r>
        <w:rPr>
          <w:sz w:val="14"/>
        </w:rPr>
        <mc:AlternateContent>
          <mc:Choice Requires="wps">
            <w:drawing>
              <wp:anchor distT="0" distB="0" distL="0" distR="0" allowOverlap="1" layoutInCell="1" locked="0" behindDoc="1" simplePos="0" relativeHeight="487594496">
                <wp:simplePos x="0" y="0"/>
                <wp:positionH relativeFrom="page">
                  <wp:posOffset>914704</wp:posOffset>
                </wp:positionH>
                <wp:positionV relativeFrom="paragraph">
                  <wp:posOffset>118871</wp:posOffset>
                </wp:positionV>
                <wp:extent cx="1829435"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35995pt;width:144.020pt;height:.72003pt;mso-position-horizontal-relative:page;mso-position-vertical-relative:paragraph;z-index:-15721984;mso-wrap-distance-left:0;mso-wrap-distance-right:0" id="docshape16" filled="true" fillcolor="#000000" stroked="false">
                <v:fill type="solid"/>
                <w10:wrap type="topAndBottom"/>
              </v:rect>
            </w:pict>
          </mc:Fallback>
        </mc:AlternateContent>
      </w:r>
    </w:p>
    <w:p>
      <w:pPr>
        <w:spacing w:before="94"/>
        <w:ind w:left="360" w:right="0" w:firstLine="0"/>
        <w:jc w:val="both"/>
        <w:rPr>
          <w:sz w:val="18"/>
        </w:rPr>
      </w:pPr>
      <w:r>
        <w:rPr>
          <w:position w:val="6"/>
          <w:sz w:val="12"/>
        </w:rPr>
        <w:t>20</w:t>
      </w:r>
      <w:r>
        <w:rPr>
          <w:spacing w:val="13"/>
          <w:position w:val="6"/>
          <w:sz w:val="12"/>
        </w:rPr>
        <w:t> </w:t>
      </w:r>
      <w:r>
        <w:rPr>
          <w:sz w:val="18"/>
        </w:rPr>
        <w:t>Kалкулација</w:t>
      </w:r>
      <w:r>
        <w:rPr>
          <w:spacing w:val="-2"/>
          <w:sz w:val="18"/>
        </w:rPr>
        <w:t> </w:t>
      </w:r>
      <w:r>
        <w:rPr>
          <w:sz w:val="18"/>
        </w:rPr>
        <w:t>на</w:t>
      </w:r>
      <w:r>
        <w:rPr>
          <w:spacing w:val="-2"/>
          <w:sz w:val="18"/>
        </w:rPr>
        <w:t> </w:t>
      </w:r>
      <w:r>
        <w:rPr>
          <w:sz w:val="18"/>
        </w:rPr>
        <w:t>основу</w:t>
      </w:r>
      <w:r>
        <w:rPr>
          <w:spacing w:val="-2"/>
          <w:sz w:val="18"/>
        </w:rPr>
        <w:t> </w:t>
      </w:r>
      <w:r>
        <w:rPr>
          <w:sz w:val="18"/>
        </w:rPr>
        <w:t>просечног</w:t>
      </w:r>
      <w:r>
        <w:rPr>
          <w:spacing w:val="-2"/>
          <w:sz w:val="18"/>
        </w:rPr>
        <w:t> </w:t>
      </w:r>
      <w:r>
        <w:rPr>
          <w:sz w:val="18"/>
        </w:rPr>
        <w:t>броја</w:t>
      </w:r>
      <w:r>
        <w:rPr>
          <w:spacing w:val="-1"/>
          <w:sz w:val="18"/>
        </w:rPr>
        <w:t> </w:t>
      </w:r>
      <w:r>
        <w:rPr>
          <w:sz w:val="18"/>
        </w:rPr>
        <w:t>незапослених</w:t>
      </w:r>
      <w:r>
        <w:rPr>
          <w:spacing w:val="-2"/>
          <w:sz w:val="18"/>
        </w:rPr>
        <w:t> </w:t>
      </w:r>
      <w:r>
        <w:rPr>
          <w:sz w:val="18"/>
        </w:rPr>
        <w:t>на</w:t>
      </w:r>
      <w:r>
        <w:rPr>
          <w:spacing w:val="-2"/>
          <w:sz w:val="18"/>
        </w:rPr>
        <w:t> </w:t>
      </w:r>
      <w:r>
        <w:rPr>
          <w:sz w:val="18"/>
        </w:rPr>
        <w:t>евиденцији</w:t>
      </w:r>
      <w:r>
        <w:rPr>
          <w:spacing w:val="-2"/>
          <w:sz w:val="18"/>
        </w:rPr>
        <w:t> </w:t>
      </w:r>
      <w:r>
        <w:rPr>
          <w:sz w:val="18"/>
        </w:rPr>
        <w:t>НСЗ у</w:t>
      </w:r>
      <w:r>
        <w:rPr>
          <w:spacing w:val="-5"/>
          <w:sz w:val="18"/>
        </w:rPr>
        <w:t> </w:t>
      </w:r>
      <w:r>
        <w:rPr>
          <w:sz w:val="18"/>
        </w:rPr>
        <w:t>2019.</w:t>
      </w:r>
      <w:r>
        <w:rPr>
          <w:spacing w:val="-2"/>
          <w:sz w:val="18"/>
        </w:rPr>
        <w:t> години</w:t>
      </w:r>
    </w:p>
    <w:p>
      <w:pPr>
        <w:spacing w:after="0"/>
        <w:jc w:val="both"/>
        <w:rPr>
          <w:sz w:val="18"/>
        </w:rPr>
        <w:sectPr>
          <w:pgSz w:w="12240" w:h="15840"/>
          <w:pgMar w:header="0" w:footer="702" w:top="1340" w:bottom="900" w:left="1080" w:right="720"/>
        </w:sect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8"/>
        <w:gridCol w:w="1086"/>
        <w:gridCol w:w="935"/>
        <w:gridCol w:w="936"/>
        <w:gridCol w:w="936"/>
        <w:gridCol w:w="784"/>
        <w:gridCol w:w="1133"/>
      </w:tblGrid>
      <w:tr>
        <w:trPr>
          <w:trHeight w:val="283" w:hRule="atLeast"/>
        </w:trPr>
        <w:tc>
          <w:tcPr>
            <w:tcW w:w="3418" w:type="dxa"/>
            <w:tcBorders>
              <w:right w:val="single" w:sz="4" w:space="0" w:color="000000"/>
            </w:tcBorders>
          </w:tcPr>
          <w:p>
            <w:pPr>
              <w:pStyle w:val="TableParagraph"/>
              <w:spacing w:line="229" w:lineRule="exact" w:before="34"/>
              <w:ind w:left="122"/>
              <w:rPr>
                <w:b/>
                <w:sz w:val="20"/>
              </w:rPr>
            </w:pPr>
            <w:r>
              <w:rPr>
                <w:b/>
                <w:sz w:val="20"/>
              </w:rPr>
              <w:t>Родни</w:t>
            </w:r>
            <w:r>
              <w:rPr>
                <w:b/>
                <w:spacing w:val="-5"/>
                <w:sz w:val="20"/>
              </w:rPr>
              <w:t> </w:t>
            </w:r>
            <w:r>
              <w:rPr>
                <w:b/>
                <w:sz w:val="20"/>
              </w:rPr>
              <w:t>јаз</w:t>
            </w:r>
            <w:r>
              <w:rPr>
                <w:b/>
                <w:spacing w:val="-5"/>
                <w:sz w:val="20"/>
              </w:rPr>
              <w:t> </w:t>
            </w:r>
            <w:r>
              <w:rPr>
                <w:b/>
                <w:sz w:val="20"/>
              </w:rPr>
              <w:t>у</w:t>
            </w:r>
            <w:r>
              <w:rPr>
                <w:b/>
                <w:spacing w:val="-1"/>
                <w:sz w:val="20"/>
              </w:rPr>
              <w:t> </w:t>
            </w:r>
            <w:r>
              <w:rPr>
                <w:b/>
                <w:sz w:val="20"/>
              </w:rPr>
              <w:t>стопи</w:t>
            </w:r>
            <w:r>
              <w:rPr>
                <w:b/>
                <w:spacing w:val="-5"/>
                <w:sz w:val="20"/>
              </w:rPr>
              <w:t> </w:t>
            </w:r>
            <w:r>
              <w:rPr>
                <w:b/>
                <w:spacing w:val="-2"/>
                <w:sz w:val="20"/>
              </w:rPr>
              <w:t>запослености</w:t>
            </w:r>
          </w:p>
        </w:tc>
        <w:tc>
          <w:tcPr>
            <w:tcW w:w="1086" w:type="dxa"/>
            <w:tcBorders>
              <w:left w:val="single" w:sz="4" w:space="0" w:color="000000"/>
            </w:tcBorders>
          </w:tcPr>
          <w:p>
            <w:pPr>
              <w:pStyle w:val="TableParagraph"/>
              <w:spacing w:line="229" w:lineRule="exact"/>
              <w:ind w:right="255"/>
              <w:jc w:val="right"/>
              <w:rPr>
                <w:b/>
                <w:sz w:val="20"/>
              </w:rPr>
            </w:pPr>
            <w:r>
              <w:rPr>
                <w:b/>
                <w:spacing w:val="-2"/>
                <w:sz w:val="20"/>
              </w:rPr>
              <w:t>-</w:t>
            </w:r>
            <w:r>
              <w:rPr>
                <w:b/>
                <w:spacing w:val="-4"/>
                <w:sz w:val="20"/>
              </w:rPr>
              <w:t>14,2</w:t>
            </w:r>
          </w:p>
        </w:tc>
        <w:tc>
          <w:tcPr>
            <w:tcW w:w="935" w:type="dxa"/>
          </w:tcPr>
          <w:p>
            <w:pPr>
              <w:pStyle w:val="TableParagraph"/>
              <w:spacing w:line="229" w:lineRule="exact"/>
              <w:ind w:right="256"/>
              <w:jc w:val="right"/>
              <w:rPr>
                <w:b/>
                <w:sz w:val="20"/>
              </w:rPr>
            </w:pPr>
            <w:r>
              <w:rPr>
                <w:b/>
                <w:spacing w:val="-2"/>
                <w:sz w:val="20"/>
              </w:rPr>
              <w:t>-</w:t>
            </w:r>
            <w:r>
              <w:rPr>
                <w:b/>
                <w:spacing w:val="-4"/>
                <w:sz w:val="20"/>
              </w:rPr>
              <w:t>13,5</w:t>
            </w:r>
          </w:p>
        </w:tc>
        <w:tc>
          <w:tcPr>
            <w:tcW w:w="936" w:type="dxa"/>
          </w:tcPr>
          <w:p>
            <w:pPr>
              <w:pStyle w:val="TableParagraph"/>
              <w:spacing w:line="229" w:lineRule="exact"/>
              <w:ind w:left="169" w:right="168"/>
              <w:jc w:val="center"/>
              <w:rPr>
                <w:b/>
                <w:sz w:val="20"/>
              </w:rPr>
            </w:pPr>
            <w:r>
              <w:rPr>
                <w:b/>
                <w:spacing w:val="-2"/>
                <w:sz w:val="20"/>
              </w:rPr>
              <w:t>-</w:t>
            </w:r>
            <w:r>
              <w:rPr>
                <w:b/>
                <w:spacing w:val="-4"/>
                <w:sz w:val="20"/>
              </w:rPr>
              <w:t>13,1</w:t>
            </w:r>
          </w:p>
        </w:tc>
        <w:tc>
          <w:tcPr>
            <w:tcW w:w="936" w:type="dxa"/>
          </w:tcPr>
          <w:p>
            <w:pPr>
              <w:pStyle w:val="TableParagraph"/>
              <w:spacing w:line="229" w:lineRule="exact"/>
              <w:ind w:right="256"/>
              <w:jc w:val="right"/>
              <w:rPr>
                <w:b/>
                <w:sz w:val="20"/>
              </w:rPr>
            </w:pPr>
            <w:r>
              <w:rPr>
                <w:b/>
                <w:spacing w:val="-2"/>
                <w:sz w:val="20"/>
              </w:rPr>
              <w:t>-</w:t>
            </w:r>
            <w:r>
              <w:rPr>
                <w:b/>
                <w:spacing w:val="-4"/>
                <w:sz w:val="20"/>
              </w:rPr>
              <w:t>13,6</w:t>
            </w:r>
          </w:p>
        </w:tc>
        <w:tc>
          <w:tcPr>
            <w:tcW w:w="784" w:type="dxa"/>
            <w:tcBorders>
              <w:right w:val="single" w:sz="4" w:space="0" w:color="000000"/>
            </w:tcBorders>
          </w:tcPr>
          <w:p>
            <w:pPr>
              <w:pStyle w:val="TableParagraph"/>
              <w:spacing w:line="229" w:lineRule="exact"/>
              <w:ind w:right="99"/>
              <w:jc w:val="right"/>
              <w:rPr>
                <w:b/>
                <w:sz w:val="20"/>
              </w:rPr>
            </w:pPr>
            <w:r>
              <w:rPr>
                <w:b/>
                <w:spacing w:val="-2"/>
                <w:sz w:val="20"/>
              </w:rPr>
              <w:t>-</w:t>
            </w:r>
            <w:r>
              <w:rPr>
                <w:b/>
                <w:spacing w:val="-4"/>
                <w:sz w:val="20"/>
              </w:rPr>
              <w:t>12,8</w:t>
            </w:r>
          </w:p>
        </w:tc>
        <w:tc>
          <w:tcPr>
            <w:tcW w:w="1133" w:type="dxa"/>
            <w:tcBorders>
              <w:left w:val="single" w:sz="4" w:space="0" w:color="000000"/>
            </w:tcBorders>
          </w:tcPr>
          <w:p>
            <w:pPr>
              <w:pStyle w:val="TableParagraph"/>
              <w:rPr>
                <w:sz w:val="20"/>
              </w:rPr>
            </w:pPr>
          </w:p>
        </w:tc>
      </w:tr>
      <w:tr>
        <w:trPr>
          <w:trHeight w:val="297" w:hRule="atLeast"/>
        </w:trPr>
        <w:tc>
          <w:tcPr>
            <w:tcW w:w="3418" w:type="dxa"/>
            <w:tcBorders>
              <w:right w:val="single" w:sz="4" w:space="0" w:color="000000"/>
            </w:tcBorders>
          </w:tcPr>
          <w:p>
            <w:pPr>
              <w:pStyle w:val="TableParagraph"/>
              <w:spacing w:before="46"/>
              <w:ind w:left="575"/>
              <w:rPr>
                <w:i/>
                <w:sz w:val="20"/>
              </w:rPr>
            </w:pPr>
            <w:r>
              <w:rPr>
                <w:i/>
                <w:spacing w:val="-2"/>
                <w:sz w:val="20"/>
              </w:rPr>
              <w:t>Мушкарци</w:t>
            </w:r>
          </w:p>
        </w:tc>
        <w:tc>
          <w:tcPr>
            <w:tcW w:w="1086" w:type="dxa"/>
            <w:tcBorders>
              <w:left w:val="single" w:sz="4" w:space="0" w:color="000000"/>
            </w:tcBorders>
          </w:tcPr>
          <w:p>
            <w:pPr>
              <w:pStyle w:val="TableParagraph"/>
              <w:spacing w:before="10"/>
              <w:ind w:right="255"/>
              <w:jc w:val="right"/>
              <w:rPr>
                <w:i/>
                <w:sz w:val="20"/>
              </w:rPr>
            </w:pPr>
            <w:r>
              <w:rPr>
                <w:i/>
                <w:spacing w:val="-4"/>
                <w:sz w:val="20"/>
              </w:rPr>
              <w:t>59,1</w:t>
            </w:r>
          </w:p>
        </w:tc>
        <w:tc>
          <w:tcPr>
            <w:tcW w:w="935" w:type="dxa"/>
          </w:tcPr>
          <w:p>
            <w:pPr>
              <w:pStyle w:val="TableParagraph"/>
              <w:spacing w:before="10"/>
              <w:ind w:right="256"/>
              <w:jc w:val="right"/>
              <w:rPr>
                <w:i/>
                <w:sz w:val="20"/>
              </w:rPr>
            </w:pPr>
            <w:r>
              <w:rPr>
                <w:i/>
                <w:spacing w:val="-4"/>
                <w:sz w:val="20"/>
              </w:rPr>
              <w:t>61,9</w:t>
            </w:r>
          </w:p>
        </w:tc>
        <w:tc>
          <w:tcPr>
            <w:tcW w:w="936" w:type="dxa"/>
          </w:tcPr>
          <w:p>
            <w:pPr>
              <w:pStyle w:val="TableParagraph"/>
              <w:spacing w:before="10"/>
              <w:ind w:left="169" w:right="101"/>
              <w:jc w:val="center"/>
              <w:rPr>
                <w:i/>
                <w:sz w:val="20"/>
              </w:rPr>
            </w:pPr>
            <w:r>
              <w:rPr>
                <w:i/>
                <w:spacing w:val="-4"/>
                <w:sz w:val="20"/>
              </w:rPr>
              <w:t>63,9</w:t>
            </w:r>
          </w:p>
        </w:tc>
        <w:tc>
          <w:tcPr>
            <w:tcW w:w="936" w:type="dxa"/>
          </w:tcPr>
          <w:p>
            <w:pPr>
              <w:pStyle w:val="TableParagraph"/>
              <w:spacing w:before="10"/>
              <w:ind w:right="256"/>
              <w:jc w:val="right"/>
              <w:rPr>
                <w:i/>
                <w:sz w:val="20"/>
              </w:rPr>
            </w:pPr>
            <w:r>
              <w:rPr>
                <w:i/>
                <w:spacing w:val="-4"/>
                <w:sz w:val="20"/>
              </w:rPr>
              <w:t>65,6</w:t>
            </w:r>
          </w:p>
        </w:tc>
        <w:tc>
          <w:tcPr>
            <w:tcW w:w="784" w:type="dxa"/>
            <w:tcBorders>
              <w:right w:val="single" w:sz="4" w:space="0" w:color="000000"/>
            </w:tcBorders>
          </w:tcPr>
          <w:p>
            <w:pPr>
              <w:pStyle w:val="TableParagraph"/>
              <w:spacing w:before="10"/>
              <w:ind w:right="99"/>
              <w:jc w:val="right"/>
              <w:rPr>
                <w:i/>
                <w:sz w:val="20"/>
              </w:rPr>
            </w:pPr>
            <w:r>
              <w:rPr>
                <w:i/>
                <w:spacing w:val="-4"/>
                <w:sz w:val="20"/>
              </w:rPr>
              <w:t>67,1</w:t>
            </w:r>
          </w:p>
        </w:tc>
        <w:tc>
          <w:tcPr>
            <w:tcW w:w="1133" w:type="dxa"/>
            <w:tcBorders>
              <w:left w:val="single" w:sz="4" w:space="0" w:color="000000"/>
            </w:tcBorders>
          </w:tcPr>
          <w:p>
            <w:pPr>
              <w:pStyle w:val="TableParagraph"/>
              <w:spacing w:before="10"/>
              <w:ind w:right="103"/>
              <w:jc w:val="right"/>
              <w:rPr>
                <w:i/>
                <w:sz w:val="20"/>
              </w:rPr>
            </w:pPr>
            <w:r>
              <w:rPr>
                <w:i/>
                <w:spacing w:val="-5"/>
                <w:sz w:val="20"/>
              </w:rPr>
              <w:t>8,0</w:t>
            </w:r>
          </w:p>
        </w:tc>
      </w:tr>
      <w:tr>
        <w:trPr>
          <w:trHeight w:val="320" w:hRule="atLeast"/>
        </w:trPr>
        <w:tc>
          <w:tcPr>
            <w:tcW w:w="3418" w:type="dxa"/>
            <w:tcBorders>
              <w:right w:val="single" w:sz="4" w:space="0" w:color="000000"/>
            </w:tcBorders>
          </w:tcPr>
          <w:p>
            <w:pPr>
              <w:pStyle w:val="TableParagraph"/>
              <w:spacing w:before="48"/>
              <w:ind w:left="525"/>
              <w:rPr>
                <w:i/>
                <w:sz w:val="20"/>
              </w:rPr>
            </w:pPr>
            <w:r>
              <w:rPr>
                <w:i/>
                <w:spacing w:val="-4"/>
                <w:sz w:val="20"/>
              </w:rPr>
              <w:t>Жене</w:t>
            </w:r>
          </w:p>
        </w:tc>
        <w:tc>
          <w:tcPr>
            <w:tcW w:w="1086" w:type="dxa"/>
            <w:tcBorders>
              <w:left w:val="single" w:sz="4" w:space="0" w:color="000000"/>
            </w:tcBorders>
          </w:tcPr>
          <w:p>
            <w:pPr>
              <w:pStyle w:val="TableParagraph"/>
              <w:spacing w:before="12"/>
              <w:ind w:right="255"/>
              <w:jc w:val="right"/>
              <w:rPr>
                <w:i/>
                <w:sz w:val="20"/>
              </w:rPr>
            </w:pPr>
            <w:r>
              <w:rPr>
                <w:i/>
                <w:spacing w:val="-4"/>
                <w:sz w:val="20"/>
              </w:rPr>
              <w:t>44,9</w:t>
            </w:r>
          </w:p>
        </w:tc>
        <w:tc>
          <w:tcPr>
            <w:tcW w:w="935" w:type="dxa"/>
          </w:tcPr>
          <w:p>
            <w:pPr>
              <w:pStyle w:val="TableParagraph"/>
              <w:spacing w:before="12"/>
              <w:ind w:right="256"/>
              <w:jc w:val="right"/>
              <w:rPr>
                <w:i/>
                <w:sz w:val="20"/>
              </w:rPr>
            </w:pPr>
            <w:r>
              <w:rPr>
                <w:i/>
                <w:spacing w:val="-4"/>
                <w:sz w:val="20"/>
              </w:rPr>
              <w:t>48,4</w:t>
            </w:r>
          </w:p>
        </w:tc>
        <w:tc>
          <w:tcPr>
            <w:tcW w:w="936" w:type="dxa"/>
          </w:tcPr>
          <w:p>
            <w:pPr>
              <w:pStyle w:val="TableParagraph"/>
              <w:spacing w:before="12"/>
              <w:ind w:left="169" w:right="101"/>
              <w:jc w:val="center"/>
              <w:rPr>
                <w:i/>
                <w:sz w:val="20"/>
              </w:rPr>
            </w:pPr>
            <w:r>
              <w:rPr>
                <w:i/>
                <w:spacing w:val="-4"/>
                <w:sz w:val="20"/>
              </w:rPr>
              <w:t>50,8</w:t>
            </w:r>
          </w:p>
        </w:tc>
        <w:tc>
          <w:tcPr>
            <w:tcW w:w="936" w:type="dxa"/>
          </w:tcPr>
          <w:p>
            <w:pPr>
              <w:pStyle w:val="TableParagraph"/>
              <w:spacing w:before="12"/>
              <w:ind w:right="256"/>
              <w:jc w:val="right"/>
              <w:rPr>
                <w:i/>
                <w:sz w:val="20"/>
              </w:rPr>
            </w:pPr>
            <w:r>
              <w:rPr>
                <w:i/>
                <w:spacing w:val="-4"/>
                <w:sz w:val="20"/>
              </w:rPr>
              <w:t>52,0</w:t>
            </w:r>
          </w:p>
        </w:tc>
        <w:tc>
          <w:tcPr>
            <w:tcW w:w="784" w:type="dxa"/>
            <w:tcBorders>
              <w:right w:val="single" w:sz="4" w:space="0" w:color="000000"/>
            </w:tcBorders>
          </w:tcPr>
          <w:p>
            <w:pPr>
              <w:pStyle w:val="TableParagraph"/>
              <w:spacing w:before="12"/>
              <w:ind w:right="99"/>
              <w:jc w:val="right"/>
              <w:rPr>
                <w:i/>
                <w:sz w:val="20"/>
              </w:rPr>
            </w:pPr>
            <w:r>
              <w:rPr>
                <w:i/>
                <w:spacing w:val="-4"/>
                <w:sz w:val="20"/>
              </w:rPr>
              <w:t>54,3</w:t>
            </w:r>
          </w:p>
        </w:tc>
        <w:tc>
          <w:tcPr>
            <w:tcW w:w="1133" w:type="dxa"/>
            <w:tcBorders>
              <w:left w:val="single" w:sz="4" w:space="0" w:color="000000"/>
            </w:tcBorders>
          </w:tcPr>
          <w:p>
            <w:pPr>
              <w:pStyle w:val="TableParagraph"/>
              <w:spacing w:before="12"/>
              <w:ind w:right="103"/>
              <w:jc w:val="right"/>
              <w:rPr>
                <w:i/>
                <w:sz w:val="20"/>
              </w:rPr>
            </w:pPr>
            <w:r>
              <w:rPr>
                <w:i/>
                <w:spacing w:val="-5"/>
                <w:sz w:val="20"/>
              </w:rPr>
              <w:t>9,4</w:t>
            </w:r>
          </w:p>
        </w:tc>
      </w:tr>
      <w:tr>
        <w:trPr>
          <w:trHeight w:val="300" w:hRule="atLeast"/>
        </w:trPr>
        <w:tc>
          <w:tcPr>
            <w:tcW w:w="3418" w:type="dxa"/>
            <w:tcBorders>
              <w:right w:val="single" w:sz="4" w:space="0" w:color="000000"/>
            </w:tcBorders>
          </w:tcPr>
          <w:p>
            <w:pPr>
              <w:pStyle w:val="TableParagraph"/>
              <w:spacing w:before="33"/>
              <w:ind w:left="122"/>
              <w:rPr>
                <w:b/>
                <w:sz w:val="20"/>
              </w:rPr>
            </w:pPr>
            <w:r>
              <w:rPr>
                <w:b/>
                <w:sz w:val="20"/>
              </w:rPr>
              <w:t>Родни</w:t>
            </w:r>
            <w:r>
              <w:rPr>
                <w:b/>
                <w:spacing w:val="-5"/>
                <w:sz w:val="20"/>
              </w:rPr>
              <w:t> </w:t>
            </w:r>
            <w:r>
              <w:rPr>
                <w:b/>
                <w:sz w:val="20"/>
              </w:rPr>
              <w:t>јаз</w:t>
            </w:r>
            <w:r>
              <w:rPr>
                <w:b/>
                <w:spacing w:val="-5"/>
                <w:sz w:val="20"/>
              </w:rPr>
              <w:t> </w:t>
            </w:r>
            <w:r>
              <w:rPr>
                <w:b/>
                <w:sz w:val="20"/>
              </w:rPr>
              <w:t>у</w:t>
            </w:r>
            <w:r>
              <w:rPr>
                <w:b/>
                <w:spacing w:val="-1"/>
                <w:sz w:val="20"/>
              </w:rPr>
              <w:t> </w:t>
            </w:r>
            <w:r>
              <w:rPr>
                <w:b/>
                <w:sz w:val="20"/>
              </w:rPr>
              <w:t>стопи</w:t>
            </w:r>
            <w:r>
              <w:rPr>
                <w:b/>
                <w:spacing w:val="-5"/>
                <w:sz w:val="20"/>
              </w:rPr>
              <w:t> </w:t>
            </w:r>
            <w:r>
              <w:rPr>
                <w:b/>
                <w:spacing w:val="-2"/>
                <w:sz w:val="20"/>
              </w:rPr>
              <w:t>незапослености</w:t>
            </w:r>
          </w:p>
        </w:tc>
        <w:tc>
          <w:tcPr>
            <w:tcW w:w="1086" w:type="dxa"/>
            <w:tcBorders>
              <w:left w:val="single" w:sz="4" w:space="0" w:color="000000"/>
            </w:tcBorders>
          </w:tcPr>
          <w:p>
            <w:pPr>
              <w:pStyle w:val="TableParagraph"/>
              <w:spacing w:before="33"/>
              <w:ind w:right="255"/>
              <w:jc w:val="right"/>
              <w:rPr>
                <w:b/>
                <w:sz w:val="20"/>
              </w:rPr>
            </w:pPr>
            <w:r>
              <w:rPr>
                <w:b/>
                <w:spacing w:val="-5"/>
                <w:sz w:val="20"/>
              </w:rPr>
              <w:t>1,9</w:t>
            </w:r>
          </w:p>
        </w:tc>
        <w:tc>
          <w:tcPr>
            <w:tcW w:w="935" w:type="dxa"/>
          </w:tcPr>
          <w:p>
            <w:pPr>
              <w:pStyle w:val="TableParagraph"/>
              <w:spacing w:before="33"/>
              <w:ind w:right="256"/>
              <w:jc w:val="right"/>
              <w:rPr>
                <w:b/>
                <w:sz w:val="20"/>
              </w:rPr>
            </w:pPr>
            <w:r>
              <w:rPr>
                <w:b/>
                <w:spacing w:val="-5"/>
                <w:sz w:val="20"/>
              </w:rPr>
              <w:t>1,4</w:t>
            </w:r>
          </w:p>
        </w:tc>
        <w:tc>
          <w:tcPr>
            <w:tcW w:w="936" w:type="dxa"/>
          </w:tcPr>
          <w:p>
            <w:pPr>
              <w:pStyle w:val="TableParagraph"/>
              <w:spacing w:before="33"/>
              <w:ind w:left="170" w:right="1"/>
              <w:jc w:val="center"/>
              <w:rPr>
                <w:b/>
                <w:sz w:val="20"/>
              </w:rPr>
            </w:pPr>
            <w:r>
              <w:rPr>
                <w:b/>
                <w:spacing w:val="-5"/>
                <w:sz w:val="20"/>
              </w:rPr>
              <w:t>1,3</w:t>
            </w:r>
          </w:p>
        </w:tc>
        <w:tc>
          <w:tcPr>
            <w:tcW w:w="936" w:type="dxa"/>
          </w:tcPr>
          <w:p>
            <w:pPr>
              <w:pStyle w:val="TableParagraph"/>
              <w:spacing w:before="33"/>
              <w:ind w:right="256"/>
              <w:jc w:val="right"/>
              <w:rPr>
                <w:b/>
                <w:sz w:val="20"/>
              </w:rPr>
            </w:pPr>
            <w:r>
              <w:rPr>
                <w:b/>
                <w:spacing w:val="-5"/>
                <w:sz w:val="20"/>
              </w:rPr>
              <w:t>1,7</w:t>
            </w:r>
          </w:p>
        </w:tc>
        <w:tc>
          <w:tcPr>
            <w:tcW w:w="784" w:type="dxa"/>
            <w:tcBorders>
              <w:right w:val="single" w:sz="4" w:space="0" w:color="000000"/>
            </w:tcBorders>
          </w:tcPr>
          <w:p>
            <w:pPr>
              <w:pStyle w:val="TableParagraph"/>
              <w:spacing w:before="33"/>
              <w:ind w:right="99"/>
              <w:jc w:val="right"/>
              <w:rPr>
                <w:b/>
                <w:sz w:val="20"/>
              </w:rPr>
            </w:pPr>
            <w:r>
              <w:rPr>
                <w:b/>
                <w:spacing w:val="-5"/>
                <w:sz w:val="20"/>
              </w:rPr>
              <w:t>1,1</w:t>
            </w:r>
          </w:p>
        </w:tc>
        <w:tc>
          <w:tcPr>
            <w:tcW w:w="1133" w:type="dxa"/>
            <w:tcBorders>
              <w:left w:val="single" w:sz="4" w:space="0" w:color="000000"/>
            </w:tcBorders>
          </w:tcPr>
          <w:p>
            <w:pPr>
              <w:pStyle w:val="TableParagraph"/>
              <w:rPr>
                <w:sz w:val="22"/>
              </w:rPr>
            </w:pPr>
          </w:p>
        </w:tc>
      </w:tr>
      <w:tr>
        <w:trPr>
          <w:trHeight w:val="297" w:hRule="atLeast"/>
        </w:trPr>
        <w:tc>
          <w:tcPr>
            <w:tcW w:w="3418" w:type="dxa"/>
            <w:tcBorders>
              <w:right w:val="single" w:sz="4" w:space="0" w:color="000000"/>
            </w:tcBorders>
          </w:tcPr>
          <w:p>
            <w:pPr>
              <w:pStyle w:val="TableParagraph"/>
              <w:spacing w:before="28"/>
              <w:ind w:left="575"/>
              <w:rPr>
                <w:i/>
                <w:sz w:val="20"/>
              </w:rPr>
            </w:pPr>
            <w:r>
              <w:rPr>
                <w:i/>
                <w:spacing w:val="-2"/>
                <w:sz w:val="20"/>
              </w:rPr>
              <w:t>Мушкарци</w:t>
            </w:r>
          </w:p>
        </w:tc>
        <w:tc>
          <w:tcPr>
            <w:tcW w:w="1086" w:type="dxa"/>
            <w:tcBorders>
              <w:left w:val="single" w:sz="4" w:space="0" w:color="000000"/>
            </w:tcBorders>
          </w:tcPr>
          <w:p>
            <w:pPr>
              <w:pStyle w:val="TableParagraph"/>
              <w:spacing w:before="28"/>
              <w:ind w:right="255"/>
              <w:jc w:val="right"/>
              <w:rPr>
                <w:i/>
                <w:sz w:val="20"/>
              </w:rPr>
            </w:pPr>
            <w:r>
              <w:rPr>
                <w:i/>
                <w:spacing w:val="-4"/>
                <w:sz w:val="20"/>
              </w:rPr>
              <w:t>17,4</w:t>
            </w:r>
          </w:p>
        </w:tc>
        <w:tc>
          <w:tcPr>
            <w:tcW w:w="935" w:type="dxa"/>
          </w:tcPr>
          <w:p>
            <w:pPr>
              <w:pStyle w:val="TableParagraph"/>
              <w:spacing w:before="28"/>
              <w:ind w:right="256"/>
              <w:jc w:val="right"/>
              <w:rPr>
                <w:i/>
                <w:sz w:val="20"/>
              </w:rPr>
            </w:pPr>
            <w:r>
              <w:rPr>
                <w:i/>
                <w:spacing w:val="-4"/>
                <w:sz w:val="20"/>
              </w:rPr>
              <w:t>15,3</w:t>
            </w:r>
          </w:p>
        </w:tc>
        <w:tc>
          <w:tcPr>
            <w:tcW w:w="936" w:type="dxa"/>
          </w:tcPr>
          <w:p>
            <w:pPr>
              <w:pStyle w:val="TableParagraph"/>
              <w:spacing w:before="28"/>
              <w:ind w:left="169" w:right="101"/>
              <w:jc w:val="center"/>
              <w:rPr>
                <w:i/>
                <w:sz w:val="20"/>
              </w:rPr>
            </w:pPr>
            <w:r>
              <w:rPr>
                <w:i/>
                <w:spacing w:val="-4"/>
                <w:sz w:val="20"/>
              </w:rPr>
              <w:t>13,5</w:t>
            </w:r>
          </w:p>
        </w:tc>
        <w:tc>
          <w:tcPr>
            <w:tcW w:w="936" w:type="dxa"/>
          </w:tcPr>
          <w:p>
            <w:pPr>
              <w:pStyle w:val="TableParagraph"/>
              <w:spacing w:before="28"/>
              <w:ind w:right="256"/>
              <w:jc w:val="right"/>
              <w:rPr>
                <w:i/>
                <w:sz w:val="20"/>
              </w:rPr>
            </w:pPr>
            <w:r>
              <w:rPr>
                <w:i/>
                <w:spacing w:val="-4"/>
                <w:sz w:val="20"/>
              </w:rPr>
              <w:t>12,5</w:t>
            </w:r>
          </w:p>
        </w:tc>
        <w:tc>
          <w:tcPr>
            <w:tcW w:w="784" w:type="dxa"/>
            <w:tcBorders>
              <w:right w:val="single" w:sz="4" w:space="0" w:color="000000"/>
            </w:tcBorders>
          </w:tcPr>
          <w:p>
            <w:pPr>
              <w:pStyle w:val="TableParagraph"/>
              <w:spacing w:before="28"/>
              <w:ind w:right="99"/>
              <w:jc w:val="right"/>
              <w:rPr>
                <w:i/>
                <w:sz w:val="20"/>
              </w:rPr>
            </w:pPr>
            <w:r>
              <w:rPr>
                <w:i/>
                <w:spacing w:val="-4"/>
                <w:sz w:val="20"/>
              </w:rPr>
              <w:t>10,4</w:t>
            </w:r>
          </w:p>
        </w:tc>
        <w:tc>
          <w:tcPr>
            <w:tcW w:w="1133" w:type="dxa"/>
            <w:tcBorders>
              <w:left w:val="single" w:sz="4" w:space="0" w:color="000000"/>
            </w:tcBorders>
          </w:tcPr>
          <w:p>
            <w:pPr>
              <w:pStyle w:val="TableParagraph"/>
              <w:spacing w:before="28"/>
              <w:ind w:right="103"/>
              <w:jc w:val="right"/>
              <w:rPr>
                <w:i/>
                <w:sz w:val="20"/>
              </w:rPr>
            </w:pPr>
            <w:r>
              <w:rPr>
                <w:i/>
                <w:spacing w:val="-2"/>
                <w:sz w:val="20"/>
              </w:rPr>
              <w:t>-</w:t>
            </w:r>
            <w:r>
              <w:rPr>
                <w:i/>
                <w:spacing w:val="-5"/>
                <w:sz w:val="20"/>
              </w:rPr>
              <w:t>7,0</w:t>
            </w:r>
          </w:p>
        </w:tc>
      </w:tr>
      <w:tr>
        <w:trPr>
          <w:trHeight w:val="302" w:hRule="atLeast"/>
        </w:trPr>
        <w:tc>
          <w:tcPr>
            <w:tcW w:w="3418" w:type="dxa"/>
            <w:tcBorders>
              <w:right w:val="single" w:sz="4" w:space="0" w:color="000000"/>
            </w:tcBorders>
          </w:tcPr>
          <w:p>
            <w:pPr>
              <w:pStyle w:val="TableParagraph"/>
              <w:spacing w:before="30"/>
              <w:ind w:left="525"/>
              <w:rPr>
                <w:i/>
                <w:sz w:val="20"/>
              </w:rPr>
            </w:pPr>
            <w:r>
              <w:rPr>
                <w:i/>
                <w:spacing w:val="-4"/>
                <w:sz w:val="20"/>
              </w:rPr>
              <w:t>Жене</w:t>
            </w:r>
          </w:p>
        </w:tc>
        <w:tc>
          <w:tcPr>
            <w:tcW w:w="1086" w:type="dxa"/>
            <w:tcBorders>
              <w:left w:val="single" w:sz="4" w:space="0" w:color="000000"/>
            </w:tcBorders>
          </w:tcPr>
          <w:p>
            <w:pPr>
              <w:pStyle w:val="TableParagraph"/>
              <w:spacing w:before="30"/>
              <w:ind w:right="255"/>
              <w:jc w:val="right"/>
              <w:rPr>
                <w:i/>
                <w:sz w:val="20"/>
              </w:rPr>
            </w:pPr>
            <w:r>
              <w:rPr>
                <w:i/>
                <w:spacing w:val="-4"/>
                <w:sz w:val="20"/>
              </w:rPr>
              <w:t>19,3</w:t>
            </w:r>
          </w:p>
        </w:tc>
        <w:tc>
          <w:tcPr>
            <w:tcW w:w="935" w:type="dxa"/>
          </w:tcPr>
          <w:p>
            <w:pPr>
              <w:pStyle w:val="TableParagraph"/>
              <w:spacing w:before="30"/>
              <w:ind w:right="256"/>
              <w:jc w:val="right"/>
              <w:rPr>
                <w:i/>
                <w:sz w:val="20"/>
              </w:rPr>
            </w:pPr>
            <w:r>
              <w:rPr>
                <w:i/>
                <w:spacing w:val="-4"/>
                <w:sz w:val="20"/>
              </w:rPr>
              <w:t>16,7</w:t>
            </w:r>
          </w:p>
        </w:tc>
        <w:tc>
          <w:tcPr>
            <w:tcW w:w="936" w:type="dxa"/>
          </w:tcPr>
          <w:p>
            <w:pPr>
              <w:pStyle w:val="TableParagraph"/>
              <w:spacing w:before="30"/>
              <w:ind w:left="169" w:right="101"/>
              <w:jc w:val="center"/>
              <w:rPr>
                <w:i/>
                <w:sz w:val="20"/>
              </w:rPr>
            </w:pPr>
            <w:r>
              <w:rPr>
                <w:i/>
                <w:spacing w:val="-4"/>
                <w:sz w:val="20"/>
              </w:rPr>
              <w:t>14,8</w:t>
            </w:r>
          </w:p>
        </w:tc>
        <w:tc>
          <w:tcPr>
            <w:tcW w:w="936" w:type="dxa"/>
          </w:tcPr>
          <w:p>
            <w:pPr>
              <w:pStyle w:val="TableParagraph"/>
              <w:spacing w:before="30"/>
              <w:ind w:right="256"/>
              <w:jc w:val="right"/>
              <w:rPr>
                <w:i/>
                <w:sz w:val="20"/>
              </w:rPr>
            </w:pPr>
            <w:r>
              <w:rPr>
                <w:i/>
                <w:spacing w:val="-4"/>
                <w:sz w:val="20"/>
              </w:rPr>
              <w:t>14,2</w:t>
            </w:r>
          </w:p>
        </w:tc>
        <w:tc>
          <w:tcPr>
            <w:tcW w:w="784" w:type="dxa"/>
            <w:tcBorders>
              <w:right w:val="single" w:sz="4" w:space="0" w:color="000000"/>
            </w:tcBorders>
          </w:tcPr>
          <w:p>
            <w:pPr>
              <w:pStyle w:val="TableParagraph"/>
              <w:spacing w:before="30"/>
              <w:ind w:right="99"/>
              <w:jc w:val="right"/>
              <w:rPr>
                <w:i/>
                <w:sz w:val="20"/>
              </w:rPr>
            </w:pPr>
            <w:r>
              <w:rPr>
                <w:i/>
                <w:spacing w:val="-4"/>
                <w:sz w:val="20"/>
              </w:rPr>
              <w:t>11,5</w:t>
            </w:r>
          </w:p>
        </w:tc>
        <w:tc>
          <w:tcPr>
            <w:tcW w:w="1133" w:type="dxa"/>
            <w:tcBorders>
              <w:left w:val="single" w:sz="4" w:space="0" w:color="000000"/>
            </w:tcBorders>
          </w:tcPr>
          <w:p>
            <w:pPr>
              <w:pStyle w:val="TableParagraph"/>
              <w:spacing w:before="30"/>
              <w:ind w:right="103"/>
              <w:jc w:val="right"/>
              <w:rPr>
                <w:i/>
                <w:sz w:val="20"/>
              </w:rPr>
            </w:pPr>
            <w:r>
              <w:rPr>
                <w:i/>
                <w:spacing w:val="-2"/>
                <w:sz w:val="20"/>
              </w:rPr>
              <w:t>-</w:t>
            </w:r>
            <w:r>
              <w:rPr>
                <w:i/>
                <w:spacing w:val="-5"/>
                <w:sz w:val="20"/>
              </w:rPr>
              <w:t>7,8</w:t>
            </w:r>
          </w:p>
        </w:tc>
      </w:tr>
      <w:tr>
        <w:trPr>
          <w:trHeight w:val="316" w:hRule="atLeast"/>
        </w:trPr>
        <w:tc>
          <w:tcPr>
            <w:tcW w:w="3418" w:type="dxa"/>
            <w:tcBorders>
              <w:right w:val="single" w:sz="4" w:space="0" w:color="000000"/>
            </w:tcBorders>
          </w:tcPr>
          <w:p>
            <w:pPr>
              <w:pStyle w:val="TableParagraph"/>
              <w:spacing w:before="33"/>
              <w:ind w:left="122"/>
              <w:rPr>
                <w:b/>
                <w:sz w:val="20"/>
              </w:rPr>
            </w:pPr>
            <w:r>
              <w:rPr>
                <w:b/>
                <w:sz w:val="20"/>
              </w:rPr>
              <w:t>Родни</w:t>
            </w:r>
            <w:r>
              <w:rPr>
                <w:b/>
                <w:spacing w:val="-5"/>
                <w:sz w:val="20"/>
              </w:rPr>
              <w:t> </w:t>
            </w:r>
            <w:r>
              <w:rPr>
                <w:b/>
                <w:sz w:val="20"/>
              </w:rPr>
              <w:t>јаз</w:t>
            </w:r>
            <w:r>
              <w:rPr>
                <w:b/>
                <w:spacing w:val="-5"/>
                <w:sz w:val="20"/>
              </w:rPr>
              <w:t> </w:t>
            </w:r>
            <w:r>
              <w:rPr>
                <w:b/>
                <w:sz w:val="20"/>
              </w:rPr>
              <w:t>у</w:t>
            </w:r>
            <w:r>
              <w:rPr>
                <w:b/>
                <w:spacing w:val="-1"/>
                <w:sz w:val="20"/>
              </w:rPr>
              <w:t> </w:t>
            </w:r>
            <w:r>
              <w:rPr>
                <w:b/>
                <w:sz w:val="20"/>
              </w:rPr>
              <w:t>стопи</w:t>
            </w:r>
            <w:r>
              <w:rPr>
                <w:b/>
                <w:spacing w:val="-5"/>
                <w:sz w:val="20"/>
              </w:rPr>
              <w:t> </w:t>
            </w:r>
            <w:r>
              <w:rPr>
                <w:b/>
                <w:spacing w:val="-2"/>
                <w:sz w:val="20"/>
              </w:rPr>
              <w:t>неактивности</w:t>
            </w:r>
          </w:p>
        </w:tc>
        <w:tc>
          <w:tcPr>
            <w:tcW w:w="1086" w:type="dxa"/>
            <w:tcBorders>
              <w:left w:val="single" w:sz="4" w:space="0" w:color="000000"/>
            </w:tcBorders>
          </w:tcPr>
          <w:p>
            <w:pPr>
              <w:pStyle w:val="TableParagraph"/>
              <w:spacing w:before="66"/>
              <w:ind w:right="255"/>
              <w:jc w:val="right"/>
              <w:rPr>
                <w:b/>
                <w:sz w:val="20"/>
              </w:rPr>
            </w:pPr>
            <w:r>
              <w:rPr>
                <w:b/>
                <w:spacing w:val="-4"/>
                <w:sz w:val="20"/>
              </w:rPr>
              <w:t>16,0</w:t>
            </w:r>
          </w:p>
        </w:tc>
        <w:tc>
          <w:tcPr>
            <w:tcW w:w="935" w:type="dxa"/>
          </w:tcPr>
          <w:p>
            <w:pPr>
              <w:pStyle w:val="TableParagraph"/>
              <w:spacing w:before="66"/>
              <w:ind w:right="256"/>
              <w:jc w:val="right"/>
              <w:rPr>
                <w:b/>
                <w:sz w:val="20"/>
              </w:rPr>
            </w:pPr>
            <w:r>
              <w:rPr>
                <w:b/>
                <w:spacing w:val="-4"/>
                <w:sz w:val="20"/>
              </w:rPr>
              <w:t>15,0</w:t>
            </w:r>
          </w:p>
        </w:tc>
        <w:tc>
          <w:tcPr>
            <w:tcW w:w="936" w:type="dxa"/>
          </w:tcPr>
          <w:p>
            <w:pPr>
              <w:pStyle w:val="TableParagraph"/>
              <w:spacing w:before="66"/>
              <w:ind w:left="169" w:right="101"/>
              <w:jc w:val="center"/>
              <w:rPr>
                <w:b/>
                <w:sz w:val="20"/>
              </w:rPr>
            </w:pPr>
            <w:r>
              <w:rPr>
                <w:b/>
                <w:spacing w:val="-4"/>
                <w:sz w:val="20"/>
              </w:rPr>
              <w:t>14,2</w:t>
            </w:r>
          </w:p>
        </w:tc>
        <w:tc>
          <w:tcPr>
            <w:tcW w:w="936" w:type="dxa"/>
          </w:tcPr>
          <w:p>
            <w:pPr>
              <w:pStyle w:val="TableParagraph"/>
              <w:spacing w:before="66"/>
              <w:ind w:right="256"/>
              <w:jc w:val="right"/>
              <w:rPr>
                <w:b/>
                <w:sz w:val="20"/>
              </w:rPr>
            </w:pPr>
            <w:r>
              <w:rPr>
                <w:b/>
                <w:spacing w:val="-4"/>
                <w:sz w:val="20"/>
              </w:rPr>
              <w:t>14,5</w:t>
            </w:r>
          </w:p>
        </w:tc>
        <w:tc>
          <w:tcPr>
            <w:tcW w:w="784" w:type="dxa"/>
            <w:tcBorders>
              <w:right w:val="single" w:sz="4" w:space="0" w:color="000000"/>
            </w:tcBorders>
          </w:tcPr>
          <w:p>
            <w:pPr>
              <w:pStyle w:val="TableParagraph"/>
              <w:spacing w:before="66"/>
              <w:ind w:right="99"/>
              <w:jc w:val="right"/>
              <w:rPr>
                <w:b/>
                <w:sz w:val="20"/>
              </w:rPr>
            </w:pPr>
            <w:r>
              <w:rPr>
                <w:b/>
                <w:spacing w:val="-4"/>
                <w:sz w:val="20"/>
              </w:rPr>
              <w:t>13,6</w:t>
            </w:r>
          </w:p>
        </w:tc>
        <w:tc>
          <w:tcPr>
            <w:tcW w:w="1133" w:type="dxa"/>
            <w:tcBorders>
              <w:left w:val="single" w:sz="4" w:space="0" w:color="000000"/>
            </w:tcBorders>
          </w:tcPr>
          <w:p>
            <w:pPr>
              <w:pStyle w:val="TableParagraph"/>
              <w:rPr>
                <w:sz w:val="22"/>
              </w:rPr>
            </w:pPr>
          </w:p>
        </w:tc>
      </w:tr>
      <w:tr>
        <w:trPr>
          <w:trHeight w:val="280" w:hRule="atLeast"/>
        </w:trPr>
        <w:tc>
          <w:tcPr>
            <w:tcW w:w="3418" w:type="dxa"/>
            <w:tcBorders>
              <w:right w:val="single" w:sz="4" w:space="0" w:color="000000"/>
            </w:tcBorders>
          </w:tcPr>
          <w:p>
            <w:pPr>
              <w:pStyle w:val="TableParagraph"/>
              <w:spacing w:before="11"/>
              <w:ind w:left="575"/>
              <w:rPr>
                <w:i/>
                <w:sz w:val="20"/>
              </w:rPr>
            </w:pPr>
            <w:r>
              <w:rPr>
                <w:i/>
                <w:spacing w:val="-2"/>
                <w:sz w:val="20"/>
              </w:rPr>
              <w:t>Мушкарци</w:t>
            </w:r>
          </w:p>
        </w:tc>
        <w:tc>
          <w:tcPr>
            <w:tcW w:w="1086" w:type="dxa"/>
            <w:tcBorders>
              <w:left w:val="single" w:sz="4" w:space="0" w:color="000000"/>
            </w:tcBorders>
          </w:tcPr>
          <w:p>
            <w:pPr>
              <w:pStyle w:val="TableParagraph"/>
              <w:spacing w:before="11"/>
              <w:ind w:right="255"/>
              <w:jc w:val="right"/>
              <w:rPr>
                <w:i/>
                <w:sz w:val="20"/>
              </w:rPr>
            </w:pPr>
            <w:r>
              <w:rPr>
                <w:i/>
                <w:spacing w:val="-4"/>
                <w:sz w:val="20"/>
              </w:rPr>
              <w:t>28,4</w:t>
            </w:r>
          </w:p>
        </w:tc>
        <w:tc>
          <w:tcPr>
            <w:tcW w:w="935" w:type="dxa"/>
          </w:tcPr>
          <w:p>
            <w:pPr>
              <w:pStyle w:val="TableParagraph"/>
              <w:spacing w:before="11"/>
              <w:ind w:right="256"/>
              <w:jc w:val="right"/>
              <w:rPr>
                <w:i/>
                <w:sz w:val="20"/>
              </w:rPr>
            </w:pPr>
            <w:r>
              <w:rPr>
                <w:i/>
                <w:spacing w:val="-4"/>
                <w:sz w:val="20"/>
              </w:rPr>
              <w:t>26,9</w:t>
            </w:r>
          </w:p>
        </w:tc>
        <w:tc>
          <w:tcPr>
            <w:tcW w:w="936" w:type="dxa"/>
          </w:tcPr>
          <w:p>
            <w:pPr>
              <w:pStyle w:val="TableParagraph"/>
              <w:spacing w:before="11"/>
              <w:ind w:left="169" w:right="101"/>
              <w:jc w:val="center"/>
              <w:rPr>
                <w:i/>
                <w:sz w:val="20"/>
              </w:rPr>
            </w:pPr>
            <w:r>
              <w:rPr>
                <w:i/>
                <w:spacing w:val="-4"/>
                <w:sz w:val="20"/>
              </w:rPr>
              <w:t>26,2</w:t>
            </w:r>
          </w:p>
        </w:tc>
        <w:tc>
          <w:tcPr>
            <w:tcW w:w="936" w:type="dxa"/>
          </w:tcPr>
          <w:p>
            <w:pPr>
              <w:pStyle w:val="TableParagraph"/>
              <w:spacing w:before="11"/>
              <w:ind w:right="256"/>
              <w:jc w:val="right"/>
              <w:rPr>
                <w:i/>
                <w:sz w:val="20"/>
              </w:rPr>
            </w:pPr>
            <w:r>
              <w:rPr>
                <w:i/>
                <w:spacing w:val="-4"/>
                <w:sz w:val="20"/>
              </w:rPr>
              <w:t>24,9</w:t>
            </w:r>
          </w:p>
        </w:tc>
        <w:tc>
          <w:tcPr>
            <w:tcW w:w="784" w:type="dxa"/>
            <w:tcBorders>
              <w:right w:val="single" w:sz="4" w:space="0" w:color="000000"/>
            </w:tcBorders>
          </w:tcPr>
          <w:p>
            <w:pPr>
              <w:pStyle w:val="TableParagraph"/>
              <w:spacing w:before="11"/>
              <w:ind w:right="99"/>
              <w:jc w:val="right"/>
              <w:rPr>
                <w:i/>
                <w:sz w:val="20"/>
              </w:rPr>
            </w:pPr>
            <w:r>
              <w:rPr>
                <w:i/>
                <w:spacing w:val="-4"/>
                <w:sz w:val="20"/>
              </w:rPr>
              <w:t>25,1</w:t>
            </w:r>
          </w:p>
        </w:tc>
        <w:tc>
          <w:tcPr>
            <w:tcW w:w="1133" w:type="dxa"/>
            <w:tcBorders>
              <w:left w:val="single" w:sz="4" w:space="0" w:color="000000"/>
            </w:tcBorders>
          </w:tcPr>
          <w:p>
            <w:pPr>
              <w:pStyle w:val="TableParagraph"/>
              <w:spacing w:before="11"/>
              <w:ind w:right="103"/>
              <w:jc w:val="right"/>
              <w:rPr>
                <w:i/>
                <w:sz w:val="20"/>
              </w:rPr>
            </w:pPr>
            <w:r>
              <w:rPr>
                <w:i/>
                <w:spacing w:val="-2"/>
                <w:sz w:val="20"/>
              </w:rPr>
              <w:t>-</w:t>
            </w:r>
            <w:r>
              <w:rPr>
                <w:i/>
                <w:spacing w:val="-5"/>
                <w:sz w:val="20"/>
              </w:rPr>
              <w:t>3,3</w:t>
            </w:r>
          </w:p>
        </w:tc>
      </w:tr>
      <w:tr>
        <w:trPr>
          <w:trHeight w:val="301" w:hRule="atLeast"/>
        </w:trPr>
        <w:tc>
          <w:tcPr>
            <w:tcW w:w="3418" w:type="dxa"/>
            <w:tcBorders>
              <w:bottom w:val="single" w:sz="4" w:space="0" w:color="000000"/>
              <w:right w:val="single" w:sz="4" w:space="0" w:color="000000"/>
            </w:tcBorders>
          </w:tcPr>
          <w:p>
            <w:pPr>
              <w:pStyle w:val="TableParagraph"/>
              <w:spacing w:before="30"/>
              <w:ind w:left="525"/>
              <w:rPr>
                <w:i/>
                <w:sz w:val="20"/>
              </w:rPr>
            </w:pPr>
            <w:r>
              <w:rPr>
                <w:i/>
                <w:spacing w:val="-4"/>
                <w:sz w:val="20"/>
              </w:rPr>
              <w:t>Жене</w:t>
            </w:r>
          </w:p>
        </w:tc>
        <w:tc>
          <w:tcPr>
            <w:tcW w:w="1086" w:type="dxa"/>
            <w:tcBorders>
              <w:left w:val="single" w:sz="4" w:space="0" w:color="000000"/>
              <w:bottom w:val="single" w:sz="4" w:space="0" w:color="000000"/>
            </w:tcBorders>
          </w:tcPr>
          <w:p>
            <w:pPr>
              <w:pStyle w:val="TableParagraph"/>
              <w:spacing w:before="30"/>
              <w:ind w:right="255"/>
              <w:jc w:val="right"/>
              <w:rPr>
                <w:i/>
                <w:sz w:val="20"/>
              </w:rPr>
            </w:pPr>
            <w:r>
              <w:rPr>
                <w:i/>
                <w:spacing w:val="-4"/>
                <w:sz w:val="20"/>
              </w:rPr>
              <w:t>44,4</w:t>
            </w:r>
          </w:p>
        </w:tc>
        <w:tc>
          <w:tcPr>
            <w:tcW w:w="935" w:type="dxa"/>
            <w:tcBorders>
              <w:bottom w:val="single" w:sz="4" w:space="0" w:color="000000"/>
            </w:tcBorders>
          </w:tcPr>
          <w:p>
            <w:pPr>
              <w:pStyle w:val="TableParagraph"/>
              <w:spacing w:before="30"/>
              <w:ind w:right="256"/>
              <w:jc w:val="right"/>
              <w:rPr>
                <w:i/>
                <w:sz w:val="20"/>
              </w:rPr>
            </w:pPr>
            <w:r>
              <w:rPr>
                <w:i/>
                <w:spacing w:val="-4"/>
                <w:sz w:val="20"/>
              </w:rPr>
              <w:t>41,9</w:t>
            </w:r>
          </w:p>
        </w:tc>
        <w:tc>
          <w:tcPr>
            <w:tcW w:w="936" w:type="dxa"/>
            <w:tcBorders>
              <w:bottom w:val="single" w:sz="4" w:space="0" w:color="000000"/>
            </w:tcBorders>
          </w:tcPr>
          <w:p>
            <w:pPr>
              <w:pStyle w:val="TableParagraph"/>
              <w:spacing w:before="30"/>
              <w:ind w:left="169" w:right="101"/>
              <w:jc w:val="center"/>
              <w:rPr>
                <w:i/>
                <w:sz w:val="20"/>
              </w:rPr>
            </w:pPr>
            <w:r>
              <w:rPr>
                <w:i/>
                <w:spacing w:val="-4"/>
                <w:sz w:val="20"/>
              </w:rPr>
              <w:t>40,4</w:t>
            </w:r>
          </w:p>
        </w:tc>
        <w:tc>
          <w:tcPr>
            <w:tcW w:w="936" w:type="dxa"/>
            <w:tcBorders>
              <w:bottom w:val="single" w:sz="4" w:space="0" w:color="000000"/>
            </w:tcBorders>
          </w:tcPr>
          <w:p>
            <w:pPr>
              <w:pStyle w:val="TableParagraph"/>
              <w:spacing w:before="30"/>
              <w:ind w:right="256"/>
              <w:jc w:val="right"/>
              <w:rPr>
                <w:i/>
                <w:sz w:val="20"/>
              </w:rPr>
            </w:pPr>
            <w:r>
              <w:rPr>
                <w:i/>
                <w:spacing w:val="-4"/>
                <w:sz w:val="20"/>
              </w:rPr>
              <w:t>39,4</w:t>
            </w:r>
          </w:p>
        </w:tc>
        <w:tc>
          <w:tcPr>
            <w:tcW w:w="784" w:type="dxa"/>
            <w:tcBorders>
              <w:bottom w:val="single" w:sz="4" w:space="0" w:color="000000"/>
              <w:right w:val="single" w:sz="4" w:space="0" w:color="000000"/>
            </w:tcBorders>
          </w:tcPr>
          <w:p>
            <w:pPr>
              <w:pStyle w:val="TableParagraph"/>
              <w:spacing w:before="30"/>
              <w:ind w:right="99"/>
              <w:jc w:val="right"/>
              <w:rPr>
                <w:i/>
                <w:sz w:val="20"/>
              </w:rPr>
            </w:pPr>
            <w:r>
              <w:rPr>
                <w:i/>
                <w:spacing w:val="-4"/>
                <w:sz w:val="20"/>
              </w:rPr>
              <w:t>38,7</w:t>
            </w:r>
          </w:p>
        </w:tc>
        <w:tc>
          <w:tcPr>
            <w:tcW w:w="1133" w:type="dxa"/>
            <w:tcBorders>
              <w:left w:val="single" w:sz="4" w:space="0" w:color="000000"/>
              <w:bottom w:val="single" w:sz="4" w:space="0" w:color="000000"/>
            </w:tcBorders>
          </w:tcPr>
          <w:p>
            <w:pPr>
              <w:pStyle w:val="TableParagraph"/>
              <w:spacing w:before="30"/>
              <w:ind w:right="103"/>
              <w:jc w:val="right"/>
              <w:rPr>
                <w:i/>
                <w:sz w:val="20"/>
              </w:rPr>
            </w:pPr>
            <w:r>
              <w:rPr>
                <w:i/>
                <w:spacing w:val="-2"/>
                <w:sz w:val="20"/>
              </w:rPr>
              <w:t>-</w:t>
            </w:r>
            <w:r>
              <w:rPr>
                <w:i/>
                <w:spacing w:val="-5"/>
                <w:sz w:val="20"/>
              </w:rPr>
              <w:t>5,7</w:t>
            </w:r>
          </w:p>
        </w:tc>
      </w:tr>
    </w:tbl>
    <w:p>
      <w:pPr>
        <w:spacing w:before="17"/>
        <w:ind w:left="360" w:right="0" w:firstLine="0"/>
        <w:jc w:val="left"/>
        <w:rPr>
          <w:i/>
          <w:sz w:val="20"/>
        </w:rPr>
      </w:pPr>
      <w:r>
        <w:rPr>
          <w:i/>
          <w:sz w:val="20"/>
        </w:rPr>
        <w:t>Извор:</w:t>
      </w:r>
      <w:r>
        <w:rPr>
          <w:i/>
          <w:spacing w:val="-5"/>
          <w:sz w:val="20"/>
        </w:rPr>
        <w:t> </w:t>
      </w:r>
      <w:r>
        <w:rPr>
          <w:i/>
          <w:sz w:val="20"/>
        </w:rPr>
        <w:t>АРС,</w:t>
      </w:r>
      <w:r>
        <w:rPr>
          <w:i/>
          <w:spacing w:val="-6"/>
          <w:sz w:val="20"/>
        </w:rPr>
        <w:t> </w:t>
      </w:r>
      <w:r>
        <w:rPr>
          <w:i/>
          <w:spacing w:val="-5"/>
          <w:sz w:val="20"/>
        </w:rPr>
        <w:t>РЗС</w:t>
      </w:r>
    </w:p>
    <w:p>
      <w:pPr>
        <w:pStyle w:val="BodyText"/>
        <w:spacing w:before="120"/>
        <w:ind w:right="718" w:firstLine="719"/>
      </w:pPr>
      <w:r>
        <w:rPr/>
        <w:t>Стопа</w:t>
      </w:r>
      <w:r>
        <w:rPr>
          <w:spacing w:val="-15"/>
        </w:rPr>
        <w:t> </w:t>
      </w:r>
      <w:r>
        <w:rPr/>
        <w:t>активности</w:t>
      </w:r>
      <w:r>
        <w:rPr>
          <w:spacing w:val="-15"/>
        </w:rPr>
        <w:t> </w:t>
      </w:r>
      <w:r>
        <w:rPr/>
        <w:t>жена</w:t>
      </w:r>
      <w:r>
        <w:rPr>
          <w:spacing w:val="-15"/>
        </w:rPr>
        <w:t> </w:t>
      </w:r>
      <w:r>
        <w:rPr/>
        <w:t>од</w:t>
      </w:r>
      <w:r>
        <w:rPr>
          <w:spacing w:val="-15"/>
        </w:rPr>
        <w:t> </w:t>
      </w:r>
      <w:r>
        <w:rPr/>
        <w:t>61,3%</w:t>
      </w:r>
      <w:r>
        <w:rPr>
          <w:spacing w:val="-15"/>
        </w:rPr>
        <w:t> </w:t>
      </w:r>
      <w:r>
        <w:rPr/>
        <w:t>је</w:t>
      </w:r>
      <w:r>
        <w:rPr>
          <w:spacing w:val="-15"/>
        </w:rPr>
        <w:t> </w:t>
      </w:r>
      <w:r>
        <w:rPr/>
        <w:t>нижа</w:t>
      </w:r>
      <w:r>
        <w:rPr>
          <w:spacing w:val="-15"/>
        </w:rPr>
        <w:t> </w:t>
      </w:r>
      <w:r>
        <w:rPr/>
        <w:t>од</w:t>
      </w:r>
      <w:r>
        <w:rPr>
          <w:spacing w:val="-15"/>
        </w:rPr>
        <w:t> </w:t>
      </w:r>
      <w:r>
        <w:rPr/>
        <w:t>стопе</w:t>
      </w:r>
      <w:r>
        <w:rPr>
          <w:spacing w:val="-15"/>
        </w:rPr>
        <w:t> </w:t>
      </w:r>
      <w:r>
        <w:rPr/>
        <w:t>активности</w:t>
      </w:r>
      <w:r>
        <w:rPr>
          <w:spacing w:val="-15"/>
        </w:rPr>
        <w:t> </w:t>
      </w:r>
      <w:r>
        <w:rPr/>
        <w:t>мушкараца</w:t>
      </w:r>
      <w:r>
        <w:rPr>
          <w:spacing w:val="-15"/>
        </w:rPr>
        <w:t> </w:t>
      </w:r>
      <w:r>
        <w:rPr/>
        <w:t>која</w:t>
      </w:r>
      <w:r>
        <w:rPr>
          <w:spacing w:val="-15"/>
        </w:rPr>
        <w:t> </w:t>
      </w:r>
      <w:r>
        <w:rPr/>
        <w:t>износи 74,9%,</w:t>
      </w:r>
      <w:r>
        <w:rPr>
          <w:spacing w:val="-15"/>
        </w:rPr>
        <w:t> </w:t>
      </w:r>
      <w:r>
        <w:rPr/>
        <w:t>што</w:t>
      </w:r>
      <w:r>
        <w:rPr>
          <w:spacing w:val="-15"/>
        </w:rPr>
        <w:t> </w:t>
      </w:r>
      <w:r>
        <w:rPr/>
        <w:t>представља</w:t>
      </w:r>
      <w:r>
        <w:rPr>
          <w:spacing w:val="-15"/>
        </w:rPr>
        <w:t> </w:t>
      </w:r>
      <w:r>
        <w:rPr/>
        <w:t>разлику</w:t>
      </w:r>
      <w:r>
        <w:rPr>
          <w:spacing w:val="-15"/>
        </w:rPr>
        <w:t> </w:t>
      </w:r>
      <w:r>
        <w:rPr/>
        <w:t>од</w:t>
      </w:r>
      <w:r>
        <w:rPr>
          <w:spacing w:val="-15"/>
        </w:rPr>
        <w:t> </w:t>
      </w:r>
      <w:r>
        <w:rPr/>
        <w:t>13,6</w:t>
      </w:r>
      <w:r>
        <w:rPr>
          <w:spacing w:val="-12"/>
        </w:rPr>
        <w:t> </w:t>
      </w:r>
      <w:r>
        <w:rPr/>
        <w:t>п.п.</w:t>
      </w:r>
      <w:r>
        <w:rPr>
          <w:spacing w:val="-15"/>
        </w:rPr>
        <w:t> </w:t>
      </w:r>
      <w:r>
        <w:rPr/>
        <w:t>Иако</w:t>
      </w:r>
      <w:r>
        <w:rPr>
          <w:spacing w:val="-13"/>
        </w:rPr>
        <w:t> </w:t>
      </w:r>
      <w:r>
        <w:rPr/>
        <w:t>се</w:t>
      </w:r>
      <w:r>
        <w:rPr>
          <w:spacing w:val="-14"/>
        </w:rPr>
        <w:t> </w:t>
      </w:r>
      <w:r>
        <w:rPr/>
        <w:t>јаз</w:t>
      </w:r>
      <w:r>
        <w:rPr>
          <w:spacing w:val="-10"/>
        </w:rPr>
        <w:t> </w:t>
      </w:r>
      <w:r>
        <w:rPr/>
        <w:t>у</w:t>
      </w:r>
      <w:r>
        <w:rPr>
          <w:spacing w:val="-15"/>
        </w:rPr>
        <w:t> </w:t>
      </w:r>
      <w:r>
        <w:rPr/>
        <w:t>стопама</w:t>
      </w:r>
      <w:r>
        <w:rPr>
          <w:spacing w:val="-14"/>
        </w:rPr>
        <w:t> </w:t>
      </w:r>
      <w:r>
        <w:rPr/>
        <w:t>активности</w:t>
      </w:r>
      <w:r>
        <w:rPr>
          <w:spacing w:val="-11"/>
        </w:rPr>
        <w:t> </w:t>
      </w:r>
      <w:r>
        <w:rPr/>
        <w:t>смањује</w:t>
      </w:r>
      <w:r>
        <w:rPr>
          <w:spacing w:val="-14"/>
        </w:rPr>
        <w:t> </w:t>
      </w:r>
      <w:r>
        <w:rPr/>
        <w:t>током година (са 16 п.п. у</w:t>
      </w:r>
      <w:r>
        <w:rPr>
          <w:spacing w:val="-4"/>
        </w:rPr>
        <w:t> </w:t>
      </w:r>
      <w:r>
        <w:rPr/>
        <w:t>2015. на 13,6 п.п. у</w:t>
      </w:r>
      <w:r>
        <w:rPr>
          <w:spacing w:val="-2"/>
        </w:rPr>
        <w:t> </w:t>
      </w:r>
      <w:r>
        <w:rPr/>
        <w:t>2019. години), стопа активности мушкараца била је виша од стопе активности жена радног узраста током целог посматраног периода.</w:t>
      </w:r>
    </w:p>
    <w:p>
      <w:pPr>
        <w:pStyle w:val="BodyText"/>
        <w:spacing w:before="120"/>
        <w:ind w:right="717" w:firstLine="719"/>
      </w:pPr>
      <w:r>
        <w:rPr/>
        <w:t>Стопа запослености жена од 54,3% је нижа од стопе запослености мушкараца која износи 67,1%, што представља разлику од 12,8 п.п. Иако се јаз у стопама запослености смањује током година (са 14,2 п.п. у</w:t>
      </w:r>
      <w:r>
        <w:rPr>
          <w:spacing w:val="-5"/>
        </w:rPr>
        <w:t> </w:t>
      </w:r>
      <w:r>
        <w:rPr/>
        <w:t>2015. на 12,8 п.п. у</w:t>
      </w:r>
      <w:r>
        <w:rPr>
          <w:spacing w:val="-5"/>
        </w:rPr>
        <w:t> </w:t>
      </w:r>
      <w:r>
        <w:rPr/>
        <w:t>2019. години), стопа запослености мушкараца била је виша од стопе запослености жена радног узраста током целог посматраног периода.</w:t>
      </w:r>
    </w:p>
    <w:p>
      <w:pPr>
        <w:pStyle w:val="BodyText"/>
        <w:spacing w:before="120"/>
        <w:ind w:right="723" w:firstLine="719"/>
      </w:pPr>
      <w:r>
        <w:rPr/>
        <w:t>На</w:t>
      </w:r>
      <w:r>
        <w:rPr>
          <w:spacing w:val="-1"/>
        </w:rPr>
        <w:t> </w:t>
      </w:r>
      <w:r>
        <w:rPr/>
        <w:t>побољшање</w:t>
      </w:r>
      <w:r>
        <w:rPr>
          <w:spacing w:val="-1"/>
        </w:rPr>
        <w:t> </w:t>
      </w:r>
      <w:r>
        <w:rPr/>
        <w:t>перформанси жена, пре</w:t>
      </w:r>
      <w:r>
        <w:rPr>
          <w:spacing w:val="-1"/>
        </w:rPr>
        <w:t> </w:t>
      </w:r>
      <w:r>
        <w:rPr/>
        <w:t>свега у</w:t>
      </w:r>
      <w:r>
        <w:rPr>
          <w:spacing w:val="-2"/>
        </w:rPr>
        <w:t> </w:t>
      </w:r>
      <w:r>
        <w:rPr/>
        <w:t>погледу</w:t>
      </w:r>
      <w:r>
        <w:rPr>
          <w:spacing w:val="-4"/>
        </w:rPr>
        <w:t> </w:t>
      </w:r>
      <w:r>
        <w:rPr/>
        <w:t>активности</w:t>
      </w:r>
      <w:r>
        <w:rPr>
          <w:spacing w:val="-1"/>
        </w:rPr>
        <w:t> </w:t>
      </w:r>
      <w:r>
        <w:rPr/>
        <w:t>и запослености, дошло</w:t>
      </w:r>
      <w:r>
        <w:rPr>
          <w:spacing w:val="-14"/>
        </w:rPr>
        <w:t> </w:t>
      </w:r>
      <w:r>
        <w:rPr/>
        <w:t>је</w:t>
      </w:r>
      <w:r>
        <w:rPr>
          <w:spacing w:val="-15"/>
        </w:rPr>
        <w:t> </w:t>
      </w:r>
      <w:r>
        <w:rPr/>
        <w:t>и</w:t>
      </w:r>
      <w:r>
        <w:rPr>
          <w:spacing w:val="-8"/>
        </w:rPr>
        <w:t> </w:t>
      </w:r>
      <w:r>
        <w:rPr/>
        <w:t>услед</w:t>
      </w:r>
      <w:r>
        <w:rPr>
          <w:spacing w:val="-14"/>
        </w:rPr>
        <w:t> </w:t>
      </w:r>
      <w:r>
        <w:rPr/>
        <w:t>институционалних</w:t>
      </w:r>
      <w:r>
        <w:rPr>
          <w:spacing w:val="-12"/>
        </w:rPr>
        <w:t> </w:t>
      </w:r>
      <w:r>
        <w:rPr/>
        <w:t>промена.</w:t>
      </w:r>
      <w:r>
        <w:rPr>
          <w:spacing w:val="-14"/>
        </w:rPr>
        <w:t> </w:t>
      </w:r>
      <w:r>
        <w:rPr/>
        <w:t>Најнепосреднији</w:t>
      </w:r>
      <w:r>
        <w:rPr>
          <w:spacing w:val="-10"/>
        </w:rPr>
        <w:t> </w:t>
      </w:r>
      <w:r>
        <w:rPr/>
        <w:t>утицај</w:t>
      </w:r>
      <w:r>
        <w:rPr>
          <w:spacing w:val="-14"/>
        </w:rPr>
        <w:t> </w:t>
      </w:r>
      <w:r>
        <w:rPr/>
        <w:t>на</w:t>
      </w:r>
      <w:r>
        <w:rPr>
          <w:spacing w:val="-15"/>
        </w:rPr>
        <w:t> </w:t>
      </w:r>
      <w:r>
        <w:rPr/>
        <w:t>активност</w:t>
      </w:r>
      <w:r>
        <w:rPr>
          <w:spacing w:val="-13"/>
        </w:rPr>
        <w:t> </w:t>
      </w:r>
      <w:r>
        <w:rPr/>
        <w:t>жена</w:t>
      </w:r>
      <w:r>
        <w:rPr>
          <w:spacing w:val="-15"/>
        </w:rPr>
        <w:t> </w:t>
      </w:r>
      <w:r>
        <w:rPr/>
        <w:t>на тржишту рада имала је законска измена у временској граници за остваривање права на пензију, али и увођење пенала за одлазак у превремену пензију. Континуирано повећање старосне границе за одлазак у пензију несумњиво је повећавало активност и запосленост жена продуживши, вољно или невољно, везаност кохорти старијих жена за тржиште рада.</w:t>
      </w:r>
    </w:p>
    <w:p>
      <w:pPr>
        <w:pStyle w:val="BodyText"/>
        <w:spacing w:before="120"/>
        <w:ind w:right="712" w:firstLine="719"/>
      </w:pPr>
      <w:r>
        <w:rPr/>
        <w:t>Иако</w:t>
      </w:r>
      <w:r>
        <w:rPr>
          <w:spacing w:val="-5"/>
        </w:rPr>
        <w:t> </w:t>
      </w:r>
      <w:r>
        <w:rPr/>
        <w:t>је</w:t>
      </w:r>
      <w:r>
        <w:rPr>
          <w:spacing w:val="-5"/>
        </w:rPr>
        <w:t> </w:t>
      </w:r>
      <w:r>
        <w:rPr/>
        <w:t>незапосленост</w:t>
      </w:r>
      <w:r>
        <w:rPr>
          <w:spacing w:val="-2"/>
        </w:rPr>
        <w:t> </w:t>
      </w:r>
      <w:r>
        <w:rPr/>
        <w:t>и</w:t>
      </w:r>
      <w:r>
        <w:rPr>
          <w:spacing w:val="-3"/>
        </w:rPr>
        <w:t> </w:t>
      </w:r>
      <w:r>
        <w:rPr/>
        <w:t>жена</w:t>
      </w:r>
      <w:r>
        <w:rPr>
          <w:spacing w:val="-6"/>
        </w:rPr>
        <w:t> </w:t>
      </w:r>
      <w:r>
        <w:rPr/>
        <w:t>и</w:t>
      </w:r>
      <w:r>
        <w:rPr>
          <w:spacing w:val="-4"/>
        </w:rPr>
        <w:t> </w:t>
      </w:r>
      <w:r>
        <w:rPr/>
        <w:t>мушкараца</w:t>
      </w:r>
      <w:r>
        <w:rPr>
          <w:spacing w:val="-6"/>
        </w:rPr>
        <w:t> </w:t>
      </w:r>
      <w:r>
        <w:rPr/>
        <w:t>опадала</w:t>
      </w:r>
      <w:r>
        <w:rPr>
          <w:spacing w:val="-1"/>
        </w:rPr>
        <w:t> </w:t>
      </w:r>
      <w:r>
        <w:rPr/>
        <w:t>у</w:t>
      </w:r>
      <w:r>
        <w:rPr>
          <w:spacing w:val="-10"/>
        </w:rPr>
        <w:t> </w:t>
      </w:r>
      <w:r>
        <w:rPr/>
        <w:t>посматраном</w:t>
      </w:r>
      <w:r>
        <w:rPr>
          <w:spacing w:val="-6"/>
        </w:rPr>
        <w:t> </w:t>
      </w:r>
      <w:r>
        <w:rPr/>
        <w:t>периоду,</w:t>
      </w:r>
      <w:r>
        <w:rPr>
          <w:spacing w:val="-3"/>
        </w:rPr>
        <w:t> </w:t>
      </w:r>
      <w:r>
        <w:rPr/>
        <w:t>брже</w:t>
      </w:r>
      <w:r>
        <w:rPr>
          <w:spacing w:val="-6"/>
        </w:rPr>
        <w:t> </w:t>
      </w:r>
      <w:r>
        <w:rPr/>
        <w:t>је опадала</w:t>
      </w:r>
      <w:r>
        <w:rPr>
          <w:spacing w:val="-6"/>
        </w:rPr>
        <w:t> </w:t>
      </w:r>
      <w:r>
        <w:rPr/>
        <w:t>незапосленост</w:t>
      </w:r>
      <w:r>
        <w:rPr>
          <w:spacing w:val="-2"/>
        </w:rPr>
        <w:t> </w:t>
      </w:r>
      <w:r>
        <w:rPr/>
        <w:t>жена,</w:t>
      </w:r>
      <w:r>
        <w:rPr>
          <w:spacing w:val="-5"/>
        </w:rPr>
        <w:t> </w:t>
      </w:r>
      <w:r>
        <w:rPr/>
        <w:t>што</w:t>
      </w:r>
      <w:r>
        <w:rPr>
          <w:spacing w:val="-4"/>
        </w:rPr>
        <w:t> </w:t>
      </w:r>
      <w:r>
        <w:rPr/>
        <w:t>је</w:t>
      </w:r>
      <w:r>
        <w:rPr>
          <w:spacing w:val="-3"/>
        </w:rPr>
        <w:t> </w:t>
      </w:r>
      <w:r>
        <w:rPr/>
        <w:t>довело</w:t>
      </w:r>
      <w:r>
        <w:rPr>
          <w:spacing w:val="-2"/>
        </w:rPr>
        <w:t> </w:t>
      </w:r>
      <w:r>
        <w:rPr/>
        <w:t>до</w:t>
      </w:r>
      <w:r>
        <w:rPr>
          <w:spacing w:val="-2"/>
        </w:rPr>
        <w:t> </w:t>
      </w:r>
      <w:r>
        <w:rPr/>
        <w:t>тога</w:t>
      </w:r>
      <w:r>
        <w:rPr>
          <w:spacing w:val="-6"/>
        </w:rPr>
        <w:t> </w:t>
      </w:r>
      <w:r>
        <w:rPr/>
        <w:t>да</w:t>
      </w:r>
      <w:r>
        <w:rPr>
          <w:spacing w:val="-3"/>
        </w:rPr>
        <w:t> </w:t>
      </w:r>
      <w:r>
        <w:rPr/>
        <w:t>се</w:t>
      </w:r>
      <w:r>
        <w:rPr>
          <w:spacing w:val="-4"/>
        </w:rPr>
        <w:t> </w:t>
      </w:r>
      <w:r>
        <w:rPr/>
        <w:t>разлика</w:t>
      </w:r>
      <w:r>
        <w:rPr>
          <w:spacing w:val="-3"/>
        </w:rPr>
        <w:t> </w:t>
      </w:r>
      <w:r>
        <w:rPr/>
        <w:t>у</w:t>
      </w:r>
      <w:r>
        <w:rPr>
          <w:spacing w:val="-7"/>
        </w:rPr>
        <w:t> </w:t>
      </w:r>
      <w:r>
        <w:rPr/>
        <w:t>стопама</w:t>
      </w:r>
      <w:r>
        <w:rPr>
          <w:spacing w:val="-6"/>
        </w:rPr>
        <w:t> </w:t>
      </w:r>
      <w:r>
        <w:rPr/>
        <w:t>незапослености смањи на 1,1 п.п. у 2019. години (са 1,9 п.п. колико је износила у 2015. години). Стопа незапослености жена износила је 11,5%, а мушкарaца 10,4% у 2019. години.</w:t>
      </w:r>
    </w:p>
    <w:p>
      <w:pPr>
        <w:pStyle w:val="BodyText"/>
        <w:spacing w:before="121"/>
        <w:ind w:right="712" w:firstLine="719"/>
      </w:pPr>
      <w:r>
        <w:rPr/>
        <w:t>Србија је прва земља ван ЕУ која је увела Индекс родне равноправности</w:t>
      </w:r>
      <w:r>
        <w:rPr>
          <w:vertAlign w:val="superscript"/>
        </w:rPr>
        <w:t>21</w:t>
      </w:r>
      <w:r>
        <w:rPr>
          <w:vertAlign w:val="baseline"/>
        </w:rPr>
        <w:t>. Индекс родне равноправности за Србију износи 55,8 поена</w:t>
      </w:r>
      <w:r>
        <w:rPr>
          <w:vertAlign w:val="superscript"/>
        </w:rPr>
        <w:t>22</w:t>
      </w:r>
      <w:r>
        <w:rPr>
          <w:vertAlign w:val="baseline"/>
        </w:rPr>
        <w:t> што представља унапређење родне равноправности односно пораст индекса за 3,4 поена у периоду од 2014. до 2016. године. Ипак,</w:t>
      </w:r>
      <w:r>
        <w:rPr>
          <w:spacing w:val="-5"/>
          <w:vertAlign w:val="baseline"/>
        </w:rPr>
        <w:t> </w:t>
      </w:r>
      <w:r>
        <w:rPr>
          <w:vertAlign w:val="baseline"/>
        </w:rPr>
        <w:t>Србија</w:t>
      </w:r>
      <w:r>
        <w:rPr>
          <w:spacing w:val="-5"/>
          <w:vertAlign w:val="baseline"/>
        </w:rPr>
        <w:t> </w:t>
      </w:r>
      <w:r>
        <w:rPr>
          <w:vertAlign w:val="baseline"/>
        </w:rPr>
        <w:t>и</w:t>
      </w:r>
      <w:r>
        <w:rPr>
          <w:spacing w:val="-4"/>
          <w:vertAlign w:val="baseline"/>
        </w:rPr>
        <w:t> </w:t>
      </w:r>
      <w:r>
        <w:rPr>
          <w:vertAlign w:val="baseline"/>
        </w:rPr>
        <w:t>даље</w:t>
      </w:r>
      <w:r>
        <w:rPr>
          <w:spacing w:val="-6"/>
          <w:vertAlign w:val="baseline"/>
        </w:rPr>
        <w:t> </w:t>
      </w:r>
      <w:r>
        <w:rPr>
          <w:vertAlign w:val="baseline"/>
        </w:rPr>
        <w:t>бележи</w:t>
      </w:r>
      <w:r>
        <w:rPr>
          <w:spacing w:val="-4"/>
          <w:vertAlign w:val="baseline"/>
        </w:rPr>
        <w:t> </w:t>
      </w:r>
      <w:r>
        <w:rPr>
          <w:vertAlign w:val="baseline"/>
        </w:rPr>
        <w:t>нижу</w:t>
      </w:r>
      <w:r>
        <w:rPr>
          <w:spacing w:val="-12"/>
          <w:vertAlign w:val="baseline"/>
        </w:rPr>
        <w:t> </w:t>
      </w:r>
      <w:r>
        <w:rPr>
          <w:vertAlign w:val="baseline"/>
        </w:rPr>
        <w:t>вредност</w:t>
      </w:r>
      <w:r>
        <w:rPr>
          <w:spacing w:val="-4"/>
          <w:vertAlign w:val="baseline"/>
        </w:rPr>
        <w:t> </w:t>
      </w:r>
      <w:r>
        <w:rPr>
          <w:vertAlign w:val="baseline"/>
        </w:rPr>
        <w:t>индекса</w:t>
      </w:r>
      <w:r>
        <w:rPr>
          <w:spacing w:val="-3"/>
          <w:vertAlign w:val="baseline"/>
        </w:rPr>
        <w:t> </w:t>
      </w:r>
      <w:r>
        <w:rPr>
          <w:vertAlign w:val="baseline"/>
        </w:rPr>
        <w:t>у</w:t>
      </w:r>
      <w:r>
        <w:rPr>
          <w:spacing w:val="-10"/>
          <w:vertAlign w:val="baseline"/>
        </w:rPr>
        <w:t> </w:t>
      </w:r>
      <w:r>
        <w:rPr>
          <w:vertAlign w:val="baseline"/>
        </w:rPr>
        <w:t>односу</w:t>
      </w:r>
      <w:r>
        <w:rPr>
          <w:spacing w:val="-10"/>
          <w:vertAlign w:val="baseline"/>
        </w:rPr>
        <w:t> </w:t>
      </w:r>
      <w:r>
        <w:rPr>
          <w:vertAlign w:val="baseline"/>
        </w:rPr>
        <w:t>на</w:t>
      </w:r>
      <w:r>
        <w:rPr>
          <w:spacing w:val="-6"/>
          <w:vertAlign w:val="baseline"/>
        </w:rPr>
        <w:t> </w:t>
      </w:r>
      <w:r>
        <w:rPr>
          <w:vertAlign w:val="baseline"/>
        </w:rPr>
        <w:t>просек</w:t>
      </w:r>
      <w:r>
        <w:rPr>
          <w:spacing w:val="-4"/>
          <w:vertAlign w:val="baseline"/>
        </w:rPr>
        <w:t> </w:t>
      </w:r>
      <w:r>
        <w:rPr>
          <w:vertAlign w:val="baseline"/>
        </w:rPr>
        <w:t>ЕУ-28,</w:t>
      </w:r>
      <w:r>
        <w:rPr>
          <w:spacing w:val="-5"/>
          <w:vertAlign w:val="baseline"/>
        </w:rPr>
        <w:t> </w:t>
      </w:r>
      <w:r>
        <w:rPr>
          <w:vertAlign w:val="baseline"/>
        </w:rPr>
        <w:t>који</w:t>
      </w:r>
      <w:r>
        <w:rPr>
          <w:spacing w:val="-4"/>
          <w:vertAlign w:val="baseline"/>
        </w:rPr>
        <w:t> </w:t>
      </w:r>
      <w:r>
        <w:rPr>
          <w:vertAlign w:val="baseline"/>
        </w:rPr>
        <w:t>износи 66,2 поена</w:t>
      </w:r>
      <w:r>
        <w:rPr>
          <w:vertAlign w:val="superscript"/>
        </w:rPr>
        <w:t>23</w:t>
      </w:r>
      <w:r>
        <w:rPr>
          <w:vertAlign w:val="baseline"/>
        </w:rPr>
        <w:t>. На заједничкој листи са државама чланицама ЕУ, Србија се налази на 22. месту</w:t>
      </w:r>
      <w:r>
        <w:rPr>
          <w:vertAlign w:val="superscript"/>
        </w:rPr>
        <w:t>24</w:t>
      </w:r>
      <w:r>
        <w:rPr>
          <w:vertAlign w:val="baseline"/>
        </w:rPr>
        <w:t>. Једна од главних оса неједнакости коју је Индекс забележио односи се на родну сегрегацију која се успоставља током образовања и наставља касније на тржишту рада. Неједнакости су</w:t>
      </w:r>
      <w:r>
        <w:rPr>
          <w:spacing w:val="-2"/>
          <w:vertAlign w:val="baseline"/>
        </w:rPr>
        <w:t> </w:t>
      </w:r>
      <w:r>
        <w:rPr>
          <w:vertAlign w:val="baseline"/>
        </w:rPr>
        <w:t>видљиве и у</w:t>
      </w:r>
      <w:r>
        <w:rPr>
          <w:spacing w:val="-2"/>
          <w:vertAlign w:val="baseline"/>
        </w:rPr>
        <w:t> </w:t>
      </w:r>
      <w:r>
        <w:rPr>
          <w:vertAlign w:val="baseline"/>
        </w:rPr>
        <w:t>домену</w:t>
      </w:r>
      <w:r>
        <w:rPr>
          <w:spacing w:val="-2"/>
          <w:vertAlign w:val="baseline"/>
        </w:rPr>
        <w:t> </w:t>
      </w:r>
      <w:r>
        <w:rPr>
          <w:vertAlign w:val="baseline"/>
        </w:rPr>
        <w:t>новца, јер жене имају</w:t>
      </w:r>
      <w:r>
        <w:rPr>
          <w:spacing w:val="-2"/>
          <w:vertAlign w:val="baseline"/>
        </w:rPr>
        <w:t> </w:t>
      </w:r>
      <w:r>
        <w:rPr>
          <w:vertAlign w:val="baseline"/>
        </w:rPr>
        <w:t>ниже приходе од мушкараца, а</w:t>
      </w:r>
    </w:p>
    <w:p>
      <w:pPr>
        <w:pStyle w:val="BodyText"/>
        <w:spacing w:before="133"/>
        <w:ind w:left="0"/>
        <w:jc w:val="left"/>
        <w:rPr>
          <w:sz w:val="20"/>
        </w:rPr>
      </w:pPr>
      <w:r>
        <w:rPr>
          <w:sz w:val="20"/>
        </w:rPr>
        <mc:AlternateContent>
          <mc:Choice Requires="wps">
            <w:drawing>
              <wp:anchor distT="0" distB="0" distL="0" distR="0" allowOverlap="1" layoutInCell="1" locked="0" behindDoc="1" simplePos="0" relativeHeight="487595008">
                <wp:simplePos x="0" y="0"/>
                <wp:positionH relativeFrom="page">
                  <wp:posOffset>914704</wp:posOffset>
                </wp:positionH>
                <wp:positionV relativeFrom="paragraph">
                  <wp:posOffset>246286</wp:posOffset>
                </wp:positionV>
                <wp:extent cx="1829435"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392647pt;width:144.020pt;height:.71997pt;mso-position-horizontal-relative:page;mso-position-vertical-relative:paragraph;z-index:-15721472;mso-wrap-distance-left:0;mso-wrap-distance-right:0" id="docshape17" filled="true" fillcolor="#000000" stroked="false">
                <v:fill type="solid"/>
                <w10:wrap type="topAndBottom"/>
              </v:rect>
            </w:pict>
          </mc:Fallback>
        </mc:AlternateContent>
      </w:r>
    </w:p>
    <w:p>
      <w:pPr>
        <w:spacing w:line="244" w:lineRule="auto" w:before="115"/>
        <w:ind w:left="360" w:right="719" w:firstLine="0"/>
        <w:jc w:val="both"/>
        <w:rPr>
          <w:sz w:val="18"/>
        </w:rPr>
      </w:pPr>
      <w:r>
        <w:rPr>
          <w:sz w:val="18"/>
          <w:vertAlign w:val="superscript"/>
        </w:rPr>
        <w:t>21</w:t>
      </w:r>
      <w:r>
        <w:rPr>
          <w:spacing w:val="-6"/>
          <w:sz w:val="18"/>
          <w:vertAlign w:val="baseline"/>
        </w:rPr>
        <w:t> </w:t>
      </w:r>
      <w:r>
        <w:rPr>
          <w:sz w:val="18"/>
          <w:vertAlign w:val="baseline"/>
        </w:rPr>
        <w:t>Индекс</w:t>
      </w:r>
      <w:r>
        <w:rPr>
          <w:spacing w:val="-10"/>
          <w:sz w:val="18"/>
          <w:vertAlign w:val="baseline"/>
        </w:rPr>
        <w:t> </w:t>
      </w:r>
      <w:r>
        <w:rPr>
          <w:sz w:val="18"/>
          <w:vertAlign w:val="baseline"/>
        </w:rPr>
        <w:t>родне</w:t>
      </w:r>
      <w:r>
        <w:rPr>
          <w:spacing w:val="-10"/>
          <w:sz w:val="18"/>
          <w:vertAlign w:val="baseline"/>
        </w:rPr>
        <w:t> </w:t>
      </w:r>
      <w:r>
        <w:rPr>
          <w:sz w:val="18"/>
          <w:vertAlign w:val="baseline"/>
        </w:rPr>
        <w:t>равноправности</w:t>
      </w:r>
      <w:r>
        <w:rPr>
          <w:spacing w:val="-9"/>
          <w:sz w:val="18"/>
          <w:vertAlign w:val="baseline"/>
        </w:rPr>
        <w:t> </w:t>
      </w:r>
      <w:r>
        <w:rPr>
          <w:sz w:val="18"/>
          <w:vertAlign w:val="baseline"/>
        </w:rPr>
        <w:t>представља</w:t>
      </w:r>
      <w:r>
        <w:rPr>
          <w:spacing w:val="-10"/>
          <w:sz w:val="18"/>
          <w:vertAlign w:val="baseline"/>
        </w:rPr>
        <w:t> </w:t>
      </w:r>
      <w:r>
        <w:rPr>
          <w:sz w:val="18"/>
          <w:vertAlign w:val="baseline"/>
        </w:rPr>
        <w:t>мерни</w:t>
      </w:r>
      <w:r>
        <w:rPr>
          <w:spacing w:val="-10"/>
          <w:sz w:val="18"/>
          <w:vertAlign w:val="baseline"/>
        </w:rPr>
        <w:t> </w:t>
      </w:r>
      <w:r>
        <w:rPr>
          <w:sz w:val="18"/>
          <w:vertAlign w:val="baseline"/>
        </w:rPr>
        <w:t>инструмент</w:t>
      </w:r>
      <w:r>
        <w:rPr>
          <w:spacing w:val="-6"/>
          <w:sz w:val="18"/>
          <w:vertAlign w:val="baseline"/>
        </w:rPr>
        <w:t> </w:t>
      </w:r>
      <w:r>
        <w:rPr>
          <w:sz w:val="18"/>
          <w:vertAlign w:val="baseline"/>
        </w:rPr>
        <w:t>ЕУ</w:t>
      </w:r>
      <w:r>
        <w:rPr>
          <w:spacing w:val="-9"/>
          <w:sz w:val="18"/>
          <w:vertAlign w:val="baseline"/>
        </w:rPr>
        <w:t> </w:t>
      </w:r>
      <w:r>
        <w:rPr>
          <w:sz w:val="18"/>
          <w:vertAlign w:val="baseline"/>
        </w:rPr>
        <w:t>који</w:t>
      </w:r>
      <w:r>
        <w:rPr>
          <w:spacing w:val="-9"/>
          <w:sz w:val="18"/>
          <w:vertAlign w:val="baseline"/>
        </w:rPr>
        <w:t> </w:t>
      </w:r>
      <w:r>
        <w:rPr>
          <w:sz w:val="18"/>
          <w:vertAlign w:val="baseline"/>
        </w:rPr>
        <w:t>мери</w:t>
      </w:r>
      <w:r>
        <w:rPr>
          <w:spacing w:val="-9"/>
          <w:sz w:val="18"/>
          <w:vertAlign w:val="baseline"/>
        </w:rPr>
        <w:t> </w:t>
      </w:r>
      <w:r>
        <w:rPr>
          <w:sz w:val="18"/>
          <w:vertAlign w:val="baseline"/>
        </w:rPr>
        <w:t>родну</w:t>
      </w:r>
      <w:r>
        <w:rPr>
          <w:spacing w:val="-12"/>
          <w:sz w:val="18"/>
          <w:vertAlign w:val="baseline"/>
        </w:rPr>
        <w:t> </w:t>
      </w:r>
      <w:r>
        <w:rPr>
          <w:sz w:val="18"/>
          <w:vertAlign w:val="baseline"/>
        </w:rPr>
        <w:t>равноправност</w:t>
      </w:r>
      <w:r>
        <w:rPr>
          <w:spacing w:val="-8"/>
          <w:sz w:val="18"/>
          <w:vertAlign w:val="baseline"/>
        </w:rPr>
        <w:t> </w:t>
      </w:r>
      <w:r>
        <w:rPr>
          <w:sz w:val="18"/>
          <w:vertAlign w:val="baseline"/>
        </w:rPr>
        <w:t>на</w:t>
      </w:r>
      <w:r>
        <w:rPr>
          <w:spacing w:val="-10"/>
          <w:sz w:val="18"/>
          <w:vertAlign w:val="baseline"/>
        </w:rPr>
        <w:t> </w:t>
      </w:r>
      <w:r>
        <w:rPr>
          <w:sz w:val="18"/>
          <w:vertAlign w:val="baseline"/>
        </w:rPr>
        <w:t>скали</w:t>
      </w:r>
      <w:r>
        <w:rPr>
          <w:spacing w:val="-9"/>
          <w:sz w:val="18"/>
          <w:vertAlign w:val="baseline"/>
        </w:rPr>
        <w:t> </w:t>
      </w:r>
      <w:r>
        <w:rPr>
          <w:sz w:val="18"/>
          <w:vertAlign w:val="baseline"/>
        </w:rPr>
        <w:t>од</w:t>
      </w:r>
      <w:r>
        <w:rPr>
          <w:spacing w:val="-9"/>
          <w:sz w:val="18"/>
          <w:vertAlign w:val="baseline"/>
        </w:rPr>
        <w:t> </w:t>
      </w:r>
      <w:r>
        <w:rPr>
          <w:sz w:val="18"/>
          <w:vertAlign w:val="baseline"/>
        </w:rPr>
        <w:t>1</w:t>
      </w:r>
      <w:r>
        <w:rPr>
          <w:spacing w:val="-8"/>
          <w:sz w:val="18"/>
          <w:vertAlign w:val="baseline"/>
        </w:rPr>
        <w:t> </w:t>
      </w:r>
      <w:r>
        <w:rPr>
          <w:sz w:val="18"/>
          <w:vertAlign w:val="baseline"/>
        </w:rPr>
        <w:t>(потпуна неравноправност) до 100 (потпуна равноправност) кроз шест домена: знање, рад, новац, здравље, време и моћ, као и два под-домена: насиље и унакрсне неједнакости</w:t>
      </w:r>
    </w:p>
    <w:p>
      <w:pPr>
        <w:spacing w:line="198" w:lineRule="exact" w:before="0"/>
        <w:ind w:left="360" w:right="0" w:firstLine="0"/>
        <w:jc w:val="left"/>
        <w:rPr>
          <w:sz w:val="18"/>
        </w:rPr>
      </w:pPr>
      <w:r>
        <w:rPr>
          <w:position w:val="6"/>
          <w:sz w:val="12"/>
        </w:rPr>
        <w:t>22</w:t>
      </w:r>
      <w:r>
        <w:rPr>
          <w:spacing w:val="12"/>
          <w:position w:val="6"/>
          <w:sz w:val="12"/>
        </w:rPr>
        <w:t> </w:t>
      </w:r>
      <w:r>
        <w:rPr>
          <w:sz w:val="18"/>
        </w:rPr>
        <w:t>Израчунат</w:t>
      </w:r>
      <w:r>
        <w:rPr>
          <w:spacing w:val="-1"/>
          <w:sz w:val="18"/>
        </w:rPr>
        <w:t> </w:t>
      </w:r>
      <w:r>
        <w:rPr>
          <w:sz w:val="18"/>
        </w:rPr>
        <w:t>је за</w:t>
      </w:r>
      <w:r>
        <w:rPr>
          <w:spacing w:val="-2"/>
          <w:sz w:val="18"/>
        </w:rPr>
        <w:t> </w:t>
      </w:r>
      <w:r>
        <w:rPr>
          <w:sz w:val="18"/>
        </w:rPr>
        <w:t>2016. а</w:t>
      </w:r>
      <w:r>
        <w:rPr>
          <w:spacing w:val="-4"/>
          <w:sz w:val="18"/>
        </w:rPr>
        <w:t> </w:t>
      </w:r>
      <w:r>
        <w:rPr>
          <w:sz w:val="18"/>
        </w:rPr>
        <w:t>резултати објављени</w:t>
      </w:r>
      <w:r>
        <w:rPr>
          <w:spacing w:val="-2"/>
          <w:sz w:val="18"/>
        </w:rPr>
        <w:t> </w:t>
      </w:r>
      <w:r>
        <w:rPr>
          <w:sz w:val="18"/>
        </w:rPr>
        <w:t>у</w:t>
      </w:r>
      <w:r>
        <w:rPr>
          <w:spacing w:val="-4"/>
          <w:sz w:val="18"/>
        </w:rPr>
        <w:t> </w:t>
      </w:r>
      <w:r>
        <w:rPr>
          <w:sz w:val="18"/>
        </w:rPr>
        <w:t>2018.</w:t>
      </w:r>
      <w:r>
        <w:rPr>
          <w:spacing w:val="-2"/>
          <w:sz w:val="18"/>
        </w:rPr>
        <w:t> години</w:t>
      </w:r>
    </w:p>
    <w:p>
      <w:pPr>
        <w:spacing w:line="208" w:lineRule="exact" w:before="0"/>
        <w:ind w:left="360" w:right="0" w:firstLine="0"/>
        <w:jc w:val="left"/>
        <w:rPr>
          <w:sz w:val="18"/>
        </w:rPr>
      </w:pPr>
      <w:r>
        <w:rPr>
          <w:position w:val="6"/>
          <w:sz w:val="12"/>
        </w:rPr>
        <w:t>23</w:t>
      </w:r>
      <w:r>
        <w:rPr>
          <w:spacing w:val="14"/>
          <w:position w:val="6"/>
          <w:sz w:val="12"/>
        </w:rPr>
        <w:t> </w:t>
      </w:r>
      <w:r>
        <w:rPr>
          <w:sz w:val="18"/>
        </w:rPr>
        <w:t>Односи</w:t>
      </w:r>
      <w:r>
        <w:rPr>
          <w:spacing w:val="-1"/>
          <w:sz w:val="18"/>
        </w:rPr>
        <w:t> </w:t>
      </w:r>
      <w:r>
        <w:rPr>
          <w:sz w:val="18"/>
        </w:rPr>
        <w:t>се</w:t>
      </w:r>
      <w:r>
        <w:rPr>
          <w:spacing w:val="-1"/>
          <w:sz w:val="18"/>
        </w:rPr>
        <w:t> </w:t>
      </w:r>
      <w:r>
        <w:rPr>
          <w:sz w:val="18"/>
        </w:rPr>
        <w:t>на</w:t>
      </w:r>
      <w:r>
        <w:rPr>
          <w:spacing w:val="-1"/>
          <w:sz w:val="18"/>
        </w:rPr>
        <w:t> </w:t>
      </w:r>
      <w:r>
        <w:rPr>
          <w:sz w:val="18"/>
        </w:rPr>
        <w:t>2015. </w:t>
      </w:r>
      <w:r>
        <w:rPr>
          <w:spacing w:val="-2"/>
          <w:sz w:val="18"/>
        </w:rPr>
        <w:t>годину</w:t>
      </w:r>
    </w:p>
    <w:p>
      <w:pPr>
        <w:spacing w:before="0"/>
        <w:ind w:left="360" w:right="713" w:firstLine="0"/>
        <w:jc w:val="left"/>
        <w:rPr>
          <w:sz w:val="18"/>
        </w:rPr>
      </w:pPr>
      <w:r>
        <w:rPr>
          <w:position w:val="6"/>
          <w:sz w:val="12"/>
        </w:rPr>
        <w:t>24</w:t>
      </w:r>
      <w:r>
        <w:rPr>
          <w:spacing w:val="12"/>
          <w:position w:val="6"/>
          <w:sz w:val="12"/>
        </w:rPr>
        <w:t> </w:t>
      </w:r>
      <w:r>
        <w:rPr>
          <w:sz w:val="18"/>
        </w:rPr>
        <w:t>Према</w:t>
      </w:r>
      <w:r>
        <w:rPr>
          <w:spacing w:val="-3"/>
          <w:sz w:val="18"/>
        </w:rPr>
        <w:t> </w:t>
      </w:r>
      <w:r>
        <w:rPr>
          <w:sz w:val="18"/>
        </w:rPr>
        <w:t>другом</w:t>
      </w:r>
      <w:r>
        <w:rPr>
          <w:spacing w:val="-4"/>
          <w:sz w:val="18"/>
        </w:rPr>
        <w:t> </w:t>
      </w:r>
      <w:r>
        <w:rPr>
          <w:sz w:val="18"/>
        </w:rPr>
        <w:t>Индексу</w:t>
      </w:r>
      <w:r>
        <w:rPr>
          <w:spacing w:val="-3"/>
          <w:sz w:val="18"/>
        </w:rPr>
        <w:t> </w:t>
      </w:r>
      <w:r>
        <w:rPr>
          <w:sz w:val="18"/>
        </w:rPr>
        <w:t>родне</w:t>
      </w:r>
      <w:r>
        <w:rPr>
          <w:spacing w:val="-4"/>
          <w:sz w:val="18"/>
        </w:rPr>
        <w:t> </w:t>
      </w:r>
      <w:r>
        <w:rPr>
          <w:sz w:val="18"/>
        </w:rPr>
        <w:t>равноправности</w:t>
      </w:r>
      <w:r>
        <w:rPr>
          <w:spacing w:val="-3"/>
          <w:sz w:val="18"/>
        </w:rPr>
        <w:t> </w:t>
      </w:r>
      <w:r>
        <w:rPr>
          <w:sz w:val="18"/>
        </w:rPr>
        <w:t>Србија</w:t>
      </w:r>
      <w:r>
        <w:rPr>
          <w:spacing w:val="-3"/>
          <w:sz w:val="18"/>
        </w:rPr>
        <w:t> </w:t>
      </w:r>
      <w:r>
        <w:rPr>
          <w:sz w:val="18"/>
        </w:rPr>
        <w:t>је</w:t>
      </w:r>
      <w:r>
        <w:rPr>
          <w:spacing w:val="-3"/>
          <w:sz w:val="18"/>
        </w:rPr>
        <w:t> </w:t>
      </w:r>
      <w:r>
        <w:rPr>
          <w:sz w:val="18"/>
        </w:rPr>
        <w:t>боље</w:t>
      </w:r>
      <w:r>
        <w:rPr>
          <w:spacing w:val="-5"/>
          <w:sz w:val="18"/>
        </w:rPr>
        <w:t> </w:t>
      </w:r>
      <w:r>
        <w:rPr>
          <w:sz w:val="18"/>
        </w:rPr>
        <w:t>позиционирана</w:t>
      </w:r>
      <w:r>
        <w:rPr>
          <w:spacing w:val="-3"/>
          <w:sz w:val="18"/>
        </w:rPr>
        <w:t> </w:t>
      </w:r>
      <w:r>
        <w:rPr>
          <w:sz w:val="18"/>
        </w:rPr>
        <w:t>од</w:t>
      </w:r>
      <w:r>
        <w:rPr>
          <w:spacing w:val="-3"/>
          <w:sz w:val="18"/>
        </w:rPr>
        <w:t> </w:t>
      </w:r>
      <w:r>
        <w:rPr>
          <w:sz w:val="18"/>
        </w:rPr>
        <w:t>седам</w:t>
      </w:r>
      <w:r>
        <w:rPr>
          <w:spacing w:val="-3"/>
          <w:sz w:val="18"/>
        </w:rPr>
        <w:t> </w:t>
      </w:r>
      <w:r>
        <w:rPr>
          <w:sz w:val="18"/>
        </w:rPr>
        <w:t>земаља</w:t>
      </w:r>
      <w:r>
        <w:rPr>
          <w:spacing w:val="-4"/>
          <w:sz w:val="18"/>
        </w:rPr>
        <w:t> </w:t>
      </w:r>
      <w:r>
        <w:rPr>
          <w:sz w:val="18"/>
        </w:rPr>
        <w:t>ЕУ:</w:t>
      </w:r>
      <w:r>
        <w:rPr>
          <w:spacing w:val="-3"/>
          <w:sz w:val="18"/>
        </w:rPr>
        <w:t> </w:t>
      </w:r>
      <w:r>
        <w:rPr>
          <w:sz w:val="18"/>
        </w:rPr>
        <w:t>Кипра,</w:t>
      </w:r>
      <w:r>
        <w:rPr>
          <w:spacing w:val="-4"/>
          <w:sz w:val="18"/>
        </w:rPr>
        <w:t> </w:t>
      </w:r>
      <w:r>
        <w:rPr>
          <w:sz w:val="18"/>
        </w:rPr>
        <w:t>Чешке, Хрватске, Румуније, Словачке, Мађарске и Грчке</w:t>
      </w:r>
    </w:p>
    <w:p>
      <w:pPr>
        <w:spacing w:after="0"/>
        <w:jc w:val="left"/>
        <w:rPr>
          <w:sz w:val="18"/>
        </w:rPr>
        <w:sectPr>
          <w:pgSz w:w="12240" w:h="15840"/>
          <w:pgMar w:header="0" w:footer="702" w:top="1420" w:bottom="900" w:left="1080" w:right="720"/>
        </w:sectPr>
      </w:pPr>
    </w:p>
    <w:p>
      <w:pPr>
        <w:pStyle w:val="BodyText"/>
        <w:spacing w:before="72"/>
        <w:ind w:right="715"/>
      </w:pPr>
      <w:r>
        <w:rPr/>
        <w:t>поједине</w:t>
      </w:r>
      <w:r>
        <w:rPr>
          <w:spacing w:val="-15"/>
        </w:rPr>
        <w:t> </w:t>
      </w:r>
      <w:r>
        <w:rPr/>
        <w:t>групе</w:t>
      </w:r>
      <w:r>
        <w:rPr>
          <w:spacing w:val="-15"/>
        </w:rPr>
        <w:t> </w:t>
      </w:r>
      <w:r>
        <w:rPr/>
        <w:t>жена</w:t>
      </w:r>
      <w:r>
        <w:rPr>
          <w:spacing w:val="-15"/>
        </w:rPr>
        <w:t> </w:t>
      </w:r>
      <w:r>
        <w:rPr/>
        <w:t>изложене</w:t>
      </w:r>
      <w:r>
        <w:rPr>
          <w:spacing w:val="-15"/>
        </w:rPr>
        <w:t> </w:t>
      </w:r>
      <w:r>
        <w:rPr/>
        <w:t>су</w:t>
      </w:r>
      <w:r>
        <w:rPr>
          <w:spacing w:val="-15"/>
        </w:rPr>
        <w:t> </w:t>
      </w:r>
      <w:r>
        <w:rPr/>
        <w:t>и</w:t>
      </w:r>
      <w:r>
        <w:rPr>
          <w:spacing w:val="-15"/>
        </w:rPr>
        <w:t> </w:t>
      </w:r>
      <w:r>
        <w:rPr/>
        <w:t>вишим</w:t>
      </w:r>
      <w:r>
        <w:rPr>
          <w:spacing w:val="-15"/>
        </w:rPr>
        <w:t> </w:t>
      </w:r>
      <w:r>
        <w:rPr/>
        <w:t>ризицима</w:t>
      </w:r>
      <w:r>
        <w:rPr>
          <w:spacing w:val="-15"/>
        </w:rPr>
        <w:t> </w:t>
      </w:r>
      <w:r>
        <w:rPr/>
        <w:t>од</w:t>
      </w:r>
      <w:r>
        <w:rPr>
          <w:spacing w:val="-15"/>
        </w:rPr>
        <w:t> </w:t>
      </w:r>
      <w:r>
        <w:rPr/>
        <w:t>сиромаштва.</w:t>
      </w:r>
      <w:r>
        <w:rPr>
          <w:spacing w:val="-15"/>
        </w:rPr>
        <w:t> </w:t>
      </w:r>
      <w:r>
        <w:rPr/>
        <w:t>Неједнакости</w:t>
      </w:r>
      <w:r>
        <w:rPr>
          <w:spacing w:val="-15"/>
        </w:rPr>
        <w:t> </w:t>
      </w:r>
      <w:r>
        <w:rPr/>
        <w:t>у</w:t>
      </w:r>
      <w:r>
        <w:rPr>
          <w:spacing w:val="-15"/>
        </w:rPr>
        <w:t> </w:t>
      </w:r>
      <w:r>
        <w:rPr/>
        <w:t>домену времена показују колико жене свог времена и рада троше у бризи о домаћинству и породици, односно обављајући неплаћени кућни рад.</w:t>
      </w:r>
    </w:p>
    <w:p>
      <w:pPr>
        <w:spacing w:before="120"/>
        <w:ind w:left="1080" w:right="0" w:firstLine="0"/>
        <w:jc w:val="left"/>
        <w:rPr>
          <w:i/>
          <w:sz w:val="24"/>
        </w:rPr>
      </w:pPr>
      <w:r>
        <w:rPr>
          <w:i/>
          <w:spacing w:val="-2"/>
          <w:sz w:val="24"/>
        </w:rPr>
        <w:t>Млади</w:t>
      </w:r>
    </w:p>
    <w:p>
      <w:pPr>
        <w:pStyle w:val="BodyText"/>
        <w:spacing w:before="120"/>
        <w:ind w:right="713" w:firstLine="719"/>
      </w:pPr>
      <w:r>
        <w:rPr/>
        <w:t>Омладина или млади у Србији су лица од навршених 15 до навршених 30 година живота</w:t>
      </w:r>
      <w:r>
        <w:rPr>
          <w:vertAlign w:val="superscript"/>
        </w:rPr>
        <w:t>25</w:t>
      </w:r>
      <w:r>
        <w:rPr>
          <w:vertAlign w:val="baseline"/>
        </w:rPr>
        <w:t>.</w:t>
      </w:r>
      <w:r>
        <w:rPr>
          <w:spacing w:val="-15"/>
          <w:vertAlign w:val="baseline"/>
        </w:rPr>
        <w:t> </w:t>
      </w:r>
      <w:r>
        <w:rPr>
          <w:vertAlign w:val="baseline"/>
        </w:rPr>
        <w:t>На</w:t>
      </w:r>
      <w:r>
        <w:rPr>
          <w:spacing w:val="-15"/>
          <w:vertAlign w:val="baseline"/>
        </w:rPr>
        <w:t> </w:t>
      </w:r>
      <w:r>
        <w:rPr>
          <w:vertAlign w:val="baseline"/>
        </w:rPr>
        <w:t>шире</w:t>
      </w:r>
      <w:r>
        <w:rPr>
          <w:spacing w:val="-14"/>
          <w:vertAlign w:val="baseline"/>
        </w:rPr>
        <w:t> </w:t>
      </w:r>
      <w:r>
        <w:rPr>
          <w:vertAlign w:val="baseline"/>
        </w:rPr>
        <w:t>посматрану</w:t>
      </w:r>
      <w:r>
        <w:rPr>
          <w:spacing w:val="-15"/>
          <w:vertAlign w:val="baseline"/>
        </w:rPr>
        <w:t> </w:t>
      </w:r>
      <w:r>
        <w:rPr>
          <w:vertAlign w:val="baseline"/>
        </w:rPr>
        <w:t>групацију</w:t>
      </w:r>
      <w:r>
        <w:rPr>
          <w:spacing w:val="-15"/>
          <w:vertAlign w:val="baseline"/>
        </w:rPr>
        <w:t> </w:t>
      </w:r>
      <w:r>
        <w:rPr>
          <w:vertAlign w:val="baseline"/>
        </w:rPr>
        <w:t>младих</w:t>
      </w:r>
      <w:r>
        <w:rPr>
          <w:spacing w:val="-9"/>
          <w:vertAlign w:val="baseline"/>
        </w:rPr>
        <w:t> </w:t>
      </w:r>
      <w:r>
        <w:rPr>
          <w:vertAlign w:val="baseline"/>
        </w:rPr>
        <w:t>(до</w:t>
      </w:r>
      <w:r>
        <w:rPr>
          <w:spacing w:val="-13"/>
          <w:vertAlign w:val="baseline"/>
        </w:rPr>
        <w:t> </w:t>
      </w:r>
      <w:r>
        <w:rPr>
          <w:vertAlign w:val="baseline"/>
        </w:rPr>
        <w:t>30</w:t>
      </w:r>
      <w:r>
        <w:rPr>
          <w:spacing w:val="-12"/>
          <w:vertAlign w:val="baseline"/>
        </w:rPr>
        <w:t> </w:t>
      </w:r>
      <w:r>
        <w:rPr>
          <w:vertAlign w:val="baseline"/>
        </w:rPr>
        <w:t>година)</w:t>
      </w:r>
      <w:r>
        <w:rPr>
          <w:spacing w:val="-13"/>
          <w:vertAlign w:val="baseline"/>
        </w:rPr>
        <w:t> </w:t>
      </w:r>
      <w:r>
        <w:rPr>
          <w:vertAlign w:val="baseline"/>
        </w:rPr>
        <w:t>од</w:t>
      </w:r>
      <w:r>
        <w:rPr>
          <w:spacing w:val="-9"/>
          <w:vertAlign w:val="baseline"/>
        </w:rPr>
        <w:t> </w:t>
      </w:r>
      <w:r>
        <w:rPr>
          <w:vertAlign w:val="baseline"/>
        </w:rPr>
        <w:t>утицаја</w:t>
      </w:r>
      <w:r>
        <w:rPr>
          <w:spacing w:val="-13"/>
          <w:vertAlign w:val="baseline"/>
        </w:rPr>
        <w:t> </w:t>
      </w:r>
      <w:r>
        <w:rPr>
          <w:vertAlign w:val="baseline"/>
        </w:rPr>
        <w:t>су</w:t>
      </w:r>
      <w:r>
        <w:rPr>
          <w:spacing w:val="-15"/>
          <w:vertAlign w:val="baseline"/>
        </w:rPr>
        <w:t> </w:t>
      </w:r>
      <w:r>
        <w:rPr>
          <w:vertAlign w:val="baseline"/>
        </w:rPr>
        <w:t>биле</w:t>
      </w:r>
      <w:r>
        <w:rPr>
          <w:spacing w:val="-10"/>
          <w:vertAlign w:val="baseline"/>
        </w:rPr>
        <w:t> </w:t>
      </w:r>
      <w:r>
        <w:rPr>
          <w:vertAlign w:val="baseline"/>
        </w:rPr>
        <w:t>глобалне друштвене промене које су довеле до феномена „продужене младости“ који подразумева дужи</w:t>
      </w:r>
      <w:r>
        <w:rPr>
          <w:spacing w:val="-10"/>
          <w:vertAlign w:val="baseline"/>
        </w:rPr>
        <w:t> </w:t>
      </w:r>
      <w:r>
        <w:rPr>
          <w:vertAlign w:val="baseline"/>
        </w:rPr>
        <w:t>период</w:t>
      </w:r>
      <w:r>
        <w:rPr>
          <w:spacing w:val="-10"/>
          <w:vertAlign w:val="baseline"/>
        </w:rPr>
        <w:t> </w:t>
      </w:r>
      <w:r>
        <w:rPr>
          <w:vertAlign w:val="baseline"/>
        </w:rPr>
        <w:t>процеса</w:t>
      </w:r>
      <w:r>
        <w:rPr>
          <w:spacing w:val="-12"/>
          <w:vertAlign w:val="baseline"/>
        </w:rPr>
        <w:t> </w:t>
      </w:r>
      <w:r>
        <w:rPr>
          <w:vertAlign w:val="baseline"/>
        </w:rPr>
        <w:t>образовања,</w:t>
      </w:r>
      <w:r>
        <w:rPr>
          <w:spacing w:val="-11"/>
          <w:vertAlign w:val="baseline"/>
        </w:rPr>
        <w:t> </w:t>
      </w:r>
      <w:r>
        <w:rPr>
          <w:vertAlign w:val="baseline"/>
        </w:rPr>
        <w:t>каснији</w:t>
      </w:r>
      <w:r>
        <w:rPr>
          <w:spacing w:val="-8"/>
          <w:vertAlign w:val="baseline"/>
        </w:rPr>
        <w:t> </w:t>
      </w:r>
      <w:r>
        <w:rPr>
          <w:vertAlign w:val="baseline"/>
        </w:rPr>
        <w:t>улазак</w:t>
      </w:r>
      <w:r>
        <w:rPr>
          <w:spacing w:val="-10"/>
          <w:vertAlign w:val="baseline"/>
        </w:rPr>
        <w:t> </w:t>
      </w:r>
      <w:r>
        <w:rPr>
          <w:vertAlign w:val="baseline"/>
        </w:rPr>
        <w:t>на</w:t>
      </w:r>
      <w:r>
        <w:rPr>
          <w:spacing w:val="-12"/>
          <w:vertAlign w:val="baseline"/>
        </w:rPr>
        <w:t> </w:t>
      </w:r>
      <w:r>
        <w:rPr>
          <w:vertAlign w:val="baseline"/>
        </w:rPr>
        <w:t>тржиште</w:t>
      </w:r>
      <w:r>
        <w:rPr>
          <w:spacing w:val="-11"/>
          <w:vertAlign w:val="baseline"/>
        </w:rPr>
        <w:t> </w:t>
      </w:r>
      <w:r>
        <w:rPr>
          <w:vertAlign w:val="baseline"/>
        </w:rPr>
        <w:t>рада,</w:t>
      </w:r>
      <w:r>
        <w:rPr>
          <w:spacing w:val="-11"/>
          <w:vertAlign w:val="baseline"/>
        </w:rPr>
        <w:t> </w:t>
      </w:r>
      <w:r>
        <w:rPr>
          <w:vertAlign w:val="baseline"/>
        </w:rPr>
        <w:t>као</w:t>
      </w:r>
      <w:r>
        <w:rPr>
          <w:spacing w:val="-11"/>
          <w:vertAlign w:val="baseline"/>
        </w:rPr>
        <w:t> </w:t>
      </w:r>
      <w:r>
        <w:rPr>
          <w:vertAlign w:val="baseline"/>
        </w:rPr>
        <w:t>и</w:t>
      </w:r>
      <w:r>
        <w:rPr>
          <w:spacing w:val="-6"/>
          <w:vertAlign w:val="baseline"/>
        </w:rPr>
        <w:t> </w:t>
      </w:r>
      <w:r>
        <w:rPr>
          <w:vertAlign w:val="baseline"/>
        </w:rPr>
        <w:t>касније</w:t>
      </w:r>
      <w:r>
        <w:rPr>
          <w:spacing w:val="-14"/>
          <w:vertAlign w:val="baseline"/>
        </w:rPr>
        <w:t> </w:t>
      </w:r>
      <w:r>
        <w:rPr>
          <w:vertAlign w:val="baseline"/>
        </w:rPr>
        <w:t>заснивање брака и родитељства, иако према дефиницији Међународне организације рада млади представљају</w:t>
      </w:r>
      <w:r>
        <w:rPr>
          <w:spacing w:val="-9"/>
          <w:vertAlign w:val="baseline"/>
        </w:rPr>
        <w:t> </w:t>
      </w:r>
      <w:r>
        <w:rPr>
          <w:vertAlign w:val="baseline"/>
        </w:rPr>
        <w:t>нешто ужу</w:t>
      </w:r>
      <w:r>
        <w:rPr>
          <w:spacing w:val="-6"/>
          <w:vertAlign w:val="baseline"/>
        </w:rPr>
        <w:t> </w:t>
      </w:r>
      <w:r>
        <w:rPr>
          <w:vertAlign w:val="baseline"/>
        </w:rPr>
        <w:t>групацију</w:t>
      </w:r>
      <w:r>
        <w:rPr>
          <w:spacing w:val="-4"/>
          <w:vertAlign w:val="baseline"/>
        </w:rPr>
        <w:t> </w:t>
      </w:r>
      <w:r>
        <w:rPr>
          <w:vertAlign w:val="baseline"/>
        </w:rPr>
        <w:t>у</w:t>
      </w:r>
      <w:r>
        <w:rPr>
          <w:spacing w:val="-9"/>
          <w:vertAlign w:val="baseline"/>
        </w:rPr>
        <w:t> </w:t>
      </w:r>
      <w:r>
        <w:rPr>
          <w:vertAlign w:val="baseline"/>
        </w:rPr>
        <w:t>коју</w:t>
      </w:r>
      <w:r>
        <w:rPr>
          <w:spacing w:val="-4"/>
          <w:vertAlign w:val="baseline"/>
        </w:rPr>
        <w:t> </w:t>
      </w:r>
      <w:r>
        <w:rPr>
          <w:vertAlign w:val="baseline"/>
        </w:rPr>
        <w:t>улазе</w:t>
      </w:r>
      <w:r>
        <w:rPr>
          <w:spacing w:val="-5"/>
          <w:vertAlign w:val="baseline"/>
        </w:rPr>
        <w:t> </w:t>
      </w:r>
      <w:r>
        <w:rPr>
          <w:vertAlign w:val="baseline"/>
        </w:rPr>
        <w:t>лица</w:t>
      </w:r>
      <w:r>
        <w:rPr>
          <w:spacing w:val="-5"/>
          <w:vertAlign w:val="baseline"/>
        </w:rPr>
        <w:t> </w:t>
      </w:r>
      <w:r>
        <w:rPr>
          <w:vertAlign w:val="baseline"/>
        </w:rPr>
        <w:t>старости</w:t>
      </w:r>
      <w:r>
        <w:rPr>
          <w:spacing w:val="-2"/>
          <w:vertAlign w:val="baseline"/>
        </w:rPr>
        <w:t> </w:t>
      </w:r>
      <w:r>
        <w:rPr>
          <w:vertAlign w:val="baseline"/>
        </w:rPr>
        <w:t>од</w:t>
      </w:r>
      <w:r>
        <w:rPr>
          <w:spacing w:val="-4"/>
          <w:vertAlign w:val="baseline"/>
        </w:rPr>
        <w:t> </w:t>
      </w:r>
      <w:r>
        <w:rPr>
          <w:vertAlign w:val="baseline"/>
        </w:rPr>
        <w:t>15</w:t>
      </w:r>
      <w:r>
        <w:rPr>
          <w:spacing w:val="-4"/>
          <w:vertAlign w:val="baseline"/>
        </w:rPr>
        <w:t> </w:t>
      </w:r>
      <w:r>
        <w:rPr>
          <w:vertAlign w:val="baseline"/>
        </w:rPr>
        <w:t>до</w:t>
      </w:r>
      <w:r>
        <w:rPr>
          <w:spacing w:val="-4"/>
          <w:vertAlign w:val="baseline"/>
        </w:rPr>
        <w:t> </w:t>
      </w:r>
      <w:r>
        <w:rPr>
          <w:vertAlign w:val="baseline"/>
        </w:rPr>
        <w:t>24</w:t>
      </w:r>
      <w:r>
        <w:rPr>
          <w:spacing w:val="-4"/>
          <w:vertAlign w:val="baseline"/>
        </w:rPr>
        <w:t> </w:t>
      </w:r>
      <w:r>
        <w:rPr>
          <w:vertAlign w:val="baseline"/>
        </w:rPr>
        <w:t>године,</w:t>
      </w:r>
      <w:r>
        <w:rPr>
          <w:spacing w:val="-3"/>
          <w:vertAlign w:val="baseline"/>
        </w:rPr>
        <w:t> </w:t>
      </w:r>
      <w:r>
        <w:rPr>
          <w:vertAlign w:val="baseline"/>
        </w:rPr>
        <w:t>па</w:t>
      </w:r>
      <w:r>
        <w:rPr>
          <w:spacing w:val="-5"/>
          <w:vertAlign w:val="baseline"/>
        </w:rPr>
        <w:t> </w:t>
      </w:r>
      <w:r>
        <w:rPr>
          <w:vertAlign w:val="baseline"/>
        </w:rPr>
        <w:t>се</w:t>
      </w:r>
      <w:r>
        <w:rPr>
          <w:spacing w:val="-5"/>
          <w:vertAlign w:val="baseline"/>
        </w:rPr>
        <w:t> </w:t>
      </w:r>
      <w:r>
        <w:rPr>
          <w:vertAlign w:val="baseline"/>
        </w:rPr>
        <w:t>ова дефиниција користи приликом спровођења Анкете о радној снази због међународне </w:t>
      </w:r>
      <w:r>
        <w:rPr>
          <w:spacing w:val="-2"/>
          <w:vertAlign w:val="baseline"/>
        </w:rPr>
        <w:t>упоредивости.</w:t>
      </w:r>
    </w:p>
    <w:p>
      <w:pPr>
        <w:pStyle w:val="BodyText"/>
        <w:spacing w:before="121"/>
        <w:ind w:right="717" w:firstLine="719"/>
      </w:pPr>
      <w:r>
        <w:rPr/>
        <w:t>Сагледавањем кретања показатеља на тржишту рада у протеклом периоду може се приметити да су млади (15-29) у одређеној мери поправили свој иницијално веома лош положај. Запосленост младих се повећавала, активност се незнатно повећала, док се незапосленост смањила у периоду 2015-2019. године.</w:t>
      </w:r>
    </w:p>
    <w:p>
      <w:pPr>
        <w:pStyle w:val="BodyText"/>
        <w:spacing w:before="122"/>
      </w:pPr>
      <w:r>
        <w:rPr/>
        <w:t>Табела</w:t>
      </w:r>
      <w:r>
        <w:rPr>
          <w:spacing w:val="-3"/>
        </w:rPr>
        <w:t> </w:t>
      </w:r>
      <w:r>
        <w:rPr/>
        <w:t>7.</w:t>
      </w:r>
      <w:r>
        <w:rPr>
          <w:spacing w:val="59"/>
        </w:rPr>
        <w:t>  </w:t>
      </w:r>
      <w:r>
        <w:rPr/>
        <w:t>Основни</w:t>
      </w:r>
      <w:r>
        <w:rPr>
          <w:spacing w:val="-4"/>
        </w:rPr>
        <w:t> </w:t>
      </w:r>
      <w:r>
        <w:rPr/>
        <w:t>показатељи</w:t>
      </w:r>
      <w:r>
        <w:rPr>
          <w:spacing w:val="-6"/>
        </w:rPr>
        <w:t> </w:t>
      </w:r>
      <w:r>
        <w:rPr/>
        <w:t>тржишта</w:t>
      </w:r>
      <w:r>
        <w:rPr>
          <w:spacing w:val="-6"/>
        </w:rPr>
        <w:t> </w:t>
      </w:r>
      <w:r>
        <w:rPr/>
        <w:t>рада</w:t>
      </w:r>
      <w:r>
        <w:rPr>
          <w:spacing w:val="-7"/>
        </w:rPr>
        <w:t> </w:t>
      </w:r>
      <w:r>
        <w:rPr/>
        <w:t>за</w:t>
      </w:r>
      <w:r>
        <w:rPr>
          <w:spacing w:val="-7"/>
        </w:rPr>
        <w:t> </w:t>
      </w:r>
      <w:r>
        <w:rPr/>
        <w:t>младе</w:t>
      </w:r>
      <w:r>
        <w:rPr>
          <w:spacing w:val="-7"/>
        </w:rPr>
        <w:t> </w:t>
      </w:r>
      <w:r>
        <w:rPr/>
        <w:t>(15-29)</w:t>
      </w:r>
      <w:r>
        <w:rPr>
          <w:spacing w:val="-8"/>
        </w:rPr>
        <w:t> </w:t>
      </w:r>
      <w:r>
        <w:rPr/>
        <w:t>према</w:t>
      </w:r>
      <w:r>
        <w:rPr>
          <w:spacing w:val="-7"/>
        </w:rPr>
        <w:t> </w:t>
      </w:r>
      <w:r>
        <w:rPr/>
        <w:t>полу,</w:t>
      </w:r>
      <w:r>
        <w:rPr>
          <w:spacing w:val="-1"/>
        </w:rPr>
        <w:t> </w:t>
      </w:r>
      <w:r>
        <w:rPr/>
        <w:t>у</w:t>
      </w:r>
      <w:r>
        <w:rPr>
          <w:spacing w:val="-11"/>
        </w:rPr>
        <w:t> </w:t>
      </w:r>
      <w:r>
        <w:rPr/>
        <w:t>%,</w:t>
      </w:r>
      <w:r>
        <w:rPr>
          <w:spacing w:val="-6"/>
        </w:rPr>
        <w:t> </w:t>
      </w:r>
      <w:r>
        <w:rPr/>
        <w:t>2015-</w:t>
      </w:r>
      <w:r>
        <w:rPr>
          <w:spacing w:val="-4"/>
        </w:rPr>
        <w:t>2019</w:t>
      </w:r>
    </w:p>
    <w:p>
      <w:pPr>
        <w:pStyle w:val="BodyText"/>
        <w:spacing w:before="3"/>
        <w:ind w:left="0"/>
        <w:jc w:val="left"/>
        <w:rPr>
          <w:sz w:val="13"/>
        </w:r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9"/>
        <w:gridCol w:w="1051"/>
        <w:gridCol w:w="911"/>
        <w:gridCol w:w="910"/>
        <w:gridCol w:w="912"/>
        <w:gridCol w:w="772"/>
        <w:gridCol w:w="1275"/>
      </w:tblGrid>
      <w:tr>
        <w:trPr>
          <w:trHeight w:val="369" w:hRule="atLeast"/>
        </w:trPr>
        <w:tc>
          <w:tcPr>
            <w:tcW w:w="3399" w:type="dxa"/>
            <w:tcBorders>
              <w:top w:val="single" w:sz="4" w:space="0" w:color="000000"/>
              <w:bottom w:val="single" w:sz="4" w:space="0" w:color="000000"/>
              <w:right w:val="single" w:sz="4" w:space="0" w:color="000000"/>
            </w:tcBorders>
          </w:tcPr>
          <w:p>
            <w:pPr>
              <w:pStyle w:val="TableParagraph"/>
              <w:rPr>
                <w:sz w:val="22"/>
              </w:rPr>
            </w:pPr>
          </w:p>
        </w:tc>
        <w:tc>
          <w:tcPr>
            <w:tcW w:w="1051" w:type="dxa"/>
            <w:tcBorders>
              <w:top w:val="single" w:sz="4" w:space="0" w:color="000000"/>
              <w:left w:val="single" w:sz="4" w:space="0" w:color="000000"/>
              <w:bottom w:val="single" w:sz="4" w:space="0" w:color="000000"/>
            </w:tcBorders>
          </w:tcPr>
          <w:p>
            <w:pPr>
              <w:pStyle w:val="TableParagraph"/>
              <w:spacing w:before="67"/>
              <w:ind w:right="245"/>
              <w:jc w:val="right"/>
              <w:rPr>
                <w:b/>
                <w:sz w:val="20"/>
              </w:rPr>
            </w:pPr>
            <w:r>
              <w:rPr>
                <w:b/>
                <w:spacing w:val="-4"/>
                <w:sz w:val="20"/>
              </w:rPr>
              <w:t>2015</w:t>
            </w:r>
          </w:p>
        </w:tc>
        <w:tc>
          <w:tcPr>
            <w:tcW w:w="911" w:type="dxa"/>
            <w:tcBorders>
              <w:top w:val="single" w:sz="4" w:space="0" w:color="000000"/>
              <w:bottom w:val="single" w:sz="4" w:space="0" w:color="000000"/>
            </w:tcBorders>
          </w:tcPr>
          <w:p>
            <w:pPr>
              <w:pStyle w:val="TableParagraph"/>
              <w:spacing w:before="67"/>
              <w:ind w:right="241"/>
              <w:jc w:val="right"/>
              <w:rPr>
                <w:b/>
                <w:sz w:val="20"/>
              </w:rPr>
            </w:pPr>
            <w:r>
              <w:rPr>
                <w:b/>
                <w:spacing w:val="-4"/>
                <w:sz w:val="20"/>
              </w:rPr>
              <w:t>2016</w:t>
            </w:r>
          </w:p>
        </w:tc>
        <w:tc>
          <w:tcPr>
            <w:tcW w:w="910" w:type="dxa"/>
            <w:tcBorders>
              <w:top w:val="single" w:sz="4" w:space="0" w:color="000000"/>
              <w:bottom w:val="single" w:sz="4" w:space="0" w:color="000000"/>
            </w:tcBorders>
          </w:tcPr>
          <w:p>
            <w:pPr>
              <w:pStyle w:val="TableParagraph"/>
              <w:spacing w:before="67"/>
              <w:ind w:right="244"/>
              <w:jc w:val="right"/>
              <w:rPr>
                <w:b/>
                <w:sz w:val="20"/>
              </w:rPr>
            </w:pPr>
            <w:r>
              <w:rPr>
                <w:b/>
                <w:spacing w:val="-4"/>
                <w:sz w:val="20"/>
              </w:rPr>
              <w:t>2017</w:t>
            </w:r>
          </w:p>
        </w:tc>
        <w:tc>
          <w:tcPr>
            <w:tcW w:w="912" w:type="dxa"/>
            <w:tcBorders>
              <w:top w:val="single" w:sz="4" w:space="0" w:color="000000"/>
              <w:bottom w:val="single" w:sz="4" w:space="0" w:color="000000"/>
            </w:tcBorders>
          </w:tcPr>
          <w:p>
            <w:pPr>
              <w:pStyle w:val="TableParagraph"/>
              <w:spacing w:before="67"/>
              <w:ind w:left="65" w:right="49"/>
              <w:jc w:val="center"/>
              <w:rPr>
                <w:b/>
                <w:sz w:val="20"/>
              </w:rPr>
            </w:pPr>
            <w:r>
              <w:rPr>
                <w:b/>
                <w:spacing w:val="-4"/>
                <w:sz w:val="20"/>
              </w:rPr>
              <w:t>2018</w:t>
            </w:r>
          </w:p>
        </w:tc>
        <w:tc>
          <w:tcPr>
            <w:tcW w:w="772" w:type="dxa"/>
            <w:tcBorders>
              <w:top w:val="single" w:sz="4" w:space="0" w:color="000000"/>
              <w:bottom w:val="single" w:sz="4" w:space="0" w:color="000000"/>
              <w:right w:val="single" w:sz="4" w:space="0" w:color="000000"/>
            </w:tcBorders>
          </w:tcPr>
          <w:p>
            <w:pPr>
              <w:pStyle w:val="TableParagraph"/>
              <w:spacing w:before="67"/>
              <w:ind w:right="99"/>
              <w:jc w:val="right"/>
              <w:rPr>
                <w:b/>
                <w:sz w:val="20"/>
              </w:rPr>
            </w:pPr>
            <w:r>
              <w:rPr>
                <w:b/>
                <w:spacing w:val="-4"/>
                <w:sz w:val="20"/>
              </w:rPr>
              <w:t>2019</w:t>
            </w:r>
          </w:p>
        </w:tc>
        <w:tc>
          <w:tcPr>
            <w:tcW w:w="1275" w:type="dxa"/>
            <w:tcBorders>
              <w:top w:val="single" w:sz="4" w:space="0" w:color="000000"/>
              <w:left w:val="single" w:sz="4" w:space="0" w:color="000000"/>
              <w:bottom w:val="single" w:sz="4" w:space="0" w:color="000000"/>
            </w:tcBorders>
          </w:tcPr>
          <w:p>
            <w:pPr>
              <w:pStyle w:val="TableParagraph"/>
              <w:spacing w:line="181" w:lineRule="exact"/>
              <w:ind w:left="307"/>
              <w:rPr>
                <w:b/>
                <w:sz w:val="16"/>
              </w:rPr>
            </w:pPr>
            <w:r>
              <w:rPr>
                <w:b/>
                <w:spacing w:val="-2"/>
                <w:sz w:val="16"/>
              </w:rPr>
              <w:t>Промена</w:t>
            </w:r>
          </w:p>
          <w:p>
            <w:pPr>
              <w:pStyle w:val="TableParagraph"/>
              <w:spacing w:line="168" w:lineRule="exact" w:before="1"/>
              <w:ind w:left="287"/>
              <w:rPr>
                <w:b/>
                <w:sz w:val="16"/>
              </w:rPr>
            </w:pPr>
            <w:r>
              <w:rPr>
                <w:b/>
                <w:spacing w:val="-2"/>
                <w:sz w:val="16"/>
              </w:rPr>
              <w:t>2019/2015</w:t>
            </w:r>
          </w:p>
        </w:tc>
      </w:tr>
      <w:tr>
        <w:trPr>
          <w:trHeight w:val="301" w:hRule="atLeast"/>
        </w:trPr>
        <w:tc>
          <w:tcPr>
            <w:tcW w:w="3399" w:type="dxa"/>
            <w:tcBorders>
              <w:top w:val="single" w:sz="4" w:space="0" w:color="000000"/>
              <w:right w:val="single" w:sz="4" w:space="0" w:color="000000"/>
            </w:tcBorders>
          </w:tcPr>
          <w:p>
            <w:pPr>
              <w:pStyle w:val="TableParagraph"/>
              <w:spacing w:before="34"/>
              <w:ind w:left="122"/>
              <w:rPr>
                <w:b/>
                <w:sz w:val="20"/>
              </w:rPr>
            </w:pPr>
            <w:r>
              <w:rPr>
                <w:b/>
                <w:sz w:val="20"/>
              </w:rPr>
              <w:t>Стопа</w:t>
            </w:r>
            <w:r>
              <w:rPr>
                <w:b/>
                <w:spacing w:val="-5"/>
                <w:sz w:val="20"/>
              </w:rPr>
              <w:t> </w:t>
            </w:r>
            <w:r>
              <w:rPr>
                <w:b/>
                <w:spacing w:val="-2"/>
                <w:sz w:val="20"/>
              </w:rPr>
              <w:t>активности</w:t>
            </w:r>
          </w:p>
        </w:tc>
        <w:tc>
          <w:tcPr>
            <w:tcW w:w="1051" w:type="dxa"/>
            <w:tcBorders>
              <w:top w:val="single" w:sz="4" w:space="0" w:color="000000"/>
              <w:left w:val="single" w:sz="4" w:space="0" w:color="000000"/>
            </w:tcBorders>
          </w:tcPr>
          <w:p>
            <w:pPr>
              <w:pStyle w:val="TableParagraph"/>
              <w:spacing w:before="34"/>
              <w:ind w:right="246"/>
              <w:jc w:val="right"/>
              <w:rPr>
                <w:b/>
                <w:sz w:val="20"/>
              </w:rPr>
            </w:pPr>
            <w:r>
              <w:rPr>
                <w:b/>
                <w:spacing w:val="-4"/>
                <w:sz w:val="20"/>
              </w:rPr>
              <w:t>46,1</w:t>
            </w:r>
          </w:p>
        </w:tc>
        <w:tc>
          <w:tcPr>
            <w:tcW w:w="911" w:type="dxa"/>
            <w:tcBorders>
              <w:top w:val="single" w:sz="4" w:space="0" w:color="000000"/>
            </w:tcBorders>
          </w:tcPr>
          <w:p>
            <w:pPr>
              <w:pStyle w:val="TableParagraph"/>
              <w:spacing w:before="34"/>
              <w:ind w:right="243"/>
              <w:jc w:val="right"/>
              <w:rPr>
                <w:b/>
                <w:sz w:val="20"/>
              </w:rPr>
            </w:pPr>
            <w:r>
              <w:rPr>
                <w:b/>
                <w:spacing w:val="-4"/>
                <w:sz w:val="20"/>
              </w:rPr>
              <w:t>47,2</w:t>
            </w:r>
          </w:p>
        </w:tc>
        <w:tc>
          <w:tcPr>
            <w:tcW w:w="910" w:type="dxa"/>
            <w:tcBorders>
              <w:top w:val="single" w:sz="4" w:space="0" w:color="000000"/>
            </w:tcBorders>
          </w:tcPr>
          <w:p>
            <w:pPr>
              <w:pStyle w:val="TableParagraph"/>
              <w:spacing w:before="34"/>
              <w:ind w:right="245"/>
              <w:jc w:val="right"/>
              <w:rPr>
                <w:b/>
                <w:sz w:val="20"/>
              </w:rPr>
            </w:pPr>
            <w:r>
              <w:rPr>
                <w:b/>
                <w:spacing w:val="-4"/>
                <w:sz w:val="20"/>
              </w:rPr>
              <w:t>47,6</w:t>
            </w:r>
          </w:p>
        </w:tc>
        <w:tc>
          <w:tcPr>
            <w:tcW w:w="912" w:type="dxa"/>
            <w:tcBorders>
              <w:top w:val="single" w:sz="4" w:space="0" w:color="000000"/>
            </w:tcBorders>
          </w:tcPr>
          <w:p>
            <w:pPr>
              <w:pStyle w:val="TableParagraph"/>
              <w:spacing w:before="34"/>
              <w:ind w:left="66" w:right="1"/>
              <w:jc w:val="center"/>
              <w:rPr>
                <w:b/>
                <w:sz w:val="20"/>
              </w:rPr>
            </w:pPr>
            <w:r>
              <w:rPr>
                <w:b/>
                <w:spacing w:val="-4"/>
                <w:sz w:val="20"/>
              </w:rPr>
              <w:t>48,1</w:t>
            </w:r>
          </w:p>
        </w:tc>
        <w:tc>
          <w:tcPr>
            <w:tcW w:w="772" w:type="dxa"/>
            <w:tcBorders>
              <w:top w:val="single" w:sz="4" w:space="0" w:color="000000"/>
              <w:right w:val="single" w:sz="4" w:space="0" w:color="000000"/>
            </w:tcBorders>
          </w:tcPr>
          <w:p>
            <w:pPr>
              <w:pStyle w:val="TableParagraph"/>
              <w:spacing w:before="34"/>
              <w:ind w:right="100"/>
              <w:jc w:val="right"/>
              <w:rPr>
                <w:b/>
                <w:sz w:val="20"/>
              </w:rPr>
            </w:pPr>
            <w:r>
              <w:rPr>
                <w:b/>
                <w:spacing w:val="-4"/>
                <w:sz w:val="20"/>
              </w:rPr>
              <w:t>47,0</w:t>
            </w:r>
          </w:p>
        </w:tc>
        <w:tc>
          <w:tcPr>
            <w:tcW w:w="1275" w:type="dxa"/>
            <w:tcBorders>
              <w:top w:val="single" w:sz="4" w:space="0" w:color="000000"/>
              <w:left w:val="single" w:sz="4" w:space="0" w:color="000000"/>
            </w:tcBorders>
          </w:tcPr>
          <w:p>
            <w:pPr>
              <w:pStyle w:val="TableParagraph"/>
              <w:spacing w:before="34"/>
              <w:ind w:left="4" w:right="8"/>
              <w:jc w:val="center"/>
              <w:rPr>
                <w:b/>
                <w:sz w:val="20"/>
              </w:rPr>
            </w:pPr>
            <w:r>
              <w:rPr>
                <w:b/>
                <w:spacing w:val="-5"/>
                <w:sz w:val="20"/>
              </w:rPr>
              <w:t>0,9</w:t>
            </w:r>
          </w:p>
        </w:tc>
      </w:tr>
      <w:tr>
        <w:trPr>
          <w:trHeight w:val="297" w:hRule="atLeast"/>
        </w:trPr>
        <w:tc>
          <w:tcPr>
            <w:tcW w:w="3399" w:type="dxa"/>
            <w:tcBorders>
              <w:right w:val="single" w:sz="4" w:space="0" w:color="000000"/>
            </w:tcBorders>
          </w:tcPr>
          <w:p>
            <w:pPr>
              <w:pStyle w:val="TableParagraph"/>
              <w:spacing w:before="28"/>
              <w:ind w:left="623"/>
              <w:rPr>
                <w:i/>
                <w:sz w:val="20"/>
              </w:rPr>
            </w:pPr>
            <w:r>
              <w:rPr>
                <w:i/>
                <w:spacing w:val="-2"/>
                <w:sz w:val="20"/>
              </w:rPr>
              <w:t>Мушкарци</w:t>
            </w:r>
          </w:p>
        </w:tc>
        <w:tc>
          <w:tcPr>
            <w:tcW w:w="1051" w:type="dxa"/>
            <w:tcBorders>
              <w:left w:val="single" w:sz="4" w:space="0" w:color="000000"/>
            </w:tcBorders>
          </w:tcPr>
          <w:p>
            <w:pPr>
              <w:pStyle w:val="TableParagraph"/>
              <w:spacing w:before="28"/>
              <w:ind w:right="246"/>
              <w:jc w:val="right"/>
              <w:rPr>
                <w:i/>
                <w:sz w:val="20"/>
              </w:rPr>
            </w:pPr>
            <w:r>
              <w:rPr>
                <w:i/>
                <w:spacing w:val="-4"/>
                <w:sz w:val="20"/>
              </w:rPr>
              <w:t>52,0</w:t>
            </w:r>
          </w:p>
        </w:tc>
        <w:tc>
          <w:tcPr>
            <w:tcW w:w="911" w:type="dxa"/>
          </w:tcPr>
          <w:p>
            <w:pPr>
              <w:pStyle w:val="TableParagraph"/>
              <w:spacing w:before="28"/>
              <w:ind w:right="243"/>
              <w:jc w:val="right"/>
              <w:rPr>
                <w:i/>
                <w:sz w:val="20"/>
              </w:rPr>
            </w:pPr>
            <w:r>
              <w:rPr>
                <w:i/>
                <w:spacing w:val="-4"/>
                <w:sz w:val="20"/>
              </w:rPr>
              <w:t>53,0</w:t>
            </w:r>
          </w:p>
        </w:tc>
        <w:tc>
          <w:tcPr>
            <w:tcW w:w="910" w:type="dxa"/>
          </w:tcPr>
          <w:p>
            <w:pPr>
              <w:pStyle w:val="TableParagraph"/>
              <w:spacing w:before="28"/>
              <w:ind w:right="245"/>
              <w:jc w:val="right"/>
              <w:rPr>
                <w:i/>
                <w:sz w:val="20"/>
              </w:rPr>
            </w:pPr>
            <w:r>
              <w:rPr>
                <w:i/>
                <w:spacing w:val="-4"/>
                <w:sz w:val="20"/>
              </w:rPr>
              <w:t>53,6</w:t>
            </w:r>
          </w:p>
        </w:tc>
        <w:tc>
          <w:tcPr>
            <w:tcW w:w="912" w:type="dxa"/>
          </w:tcPr>
          <w:p>
            <w:pPr>
              <w:pStyle w:val="TableParagraph"/>
              <w:spacing w:before="28"/>
              <w:ind w:left="66" w:right="1"/>
              <w:jc w:val="center"/>
              <w:rPr>
                <w:i/>
                <w:sz w:val="20"/>
              </w:rPr>
            </w:pPr>
            <w:r>
              <w:rPr>
                <w:i/>
                <w:spacing w:val="-4"/>
                <w:sz w:val="20"/>
              </w:rPr>
              <w:t>54,4</w:t>
            </w:r>
          </w:p>
        </w:tc>
        <w:tc>
          <w:tcPr>
            <w:tcW w:w="772" w:type="dxa"/>
            <w:tcBorders>
              <w:right w:val="single" w:sz="4" w:space="0" w:color="000000"/>
            </w:tcBorders>
          </w:tcPr>
          <w:p>
            <w:pPr>
              <w:pStyle w:val="TableParagraph"/>
              <w:spacing w:before="28"/>
              <w:ind w:right="100"/>
              <w:jc w:val="right"/>
              <w:rPr>
                <w:i/>
                <w:sz w:val="20"/>
              </w:rPr>
            </w:pPr>
            <w:r>
              <w:rPr>
                <w:i/>
                <w:spacing w:val="-4"/>
                <w:sz w:val="20"/>
              </w:rPr>
              <w:t>53,5</w:t>
            </w:r>
          </w:p>
        </w:tc>
        <w:tc>
          <w:tcPr>
            <w:tcW w:w="1275" w:type="dxa"/>
            <w:tcBorders>
              <w:left w:val="single" w:sz="4" w:space="0" w:color="000000"/>
            </w:tcBorders>
          </w:tcPr>
          <w:p>
            <w:pPr>
              <w:pStyle w:val="TableParagraph"/>
              <w:spacing w:before="28"/>
              <w:ind w:left="4" w:right="8"/>
              <w:jc w:val="center"/>
              <w:rPr>
                <w:i/>
                <w:sz w:val="20"/>
              </w:rPr>
            </w:pPr>
            <w:r>
              <w:rPr>
                <w:i/>
                <w:spacing w:val="-5"/>
                <w:sz w:val="20"/>
              </w:rPr>
              <w:t>1,5</w:t>
            </w:r>
          </w:p>
        </w:tc>
      </w:tr>
      <w:tr>
        <w:trPr>
          <w:trHeight w:val="302" w:hRule="atLeast"/>
        </w:trPr>
        <w:tc>
          <w:tcPr>
            <w:tcW w:w="3399" w:type="dxa"/>
            <w:tcBorders>
              <w:right w:val="single" w:sz="4" w:space="0" w:color="000000"/>
            </w:tcBorders>
          </w:tcPr>
          <w:p>
            <w:pPr>
              <w:pStyle w:val="TableParagraph"/>
              <w:spacing w:before="30"/>
              <w:ind w:left="575"/>
              <w:rPr>
                <w:i/>
                <w:sz w:val="20"/>
              </w:rPr>
            </w:pPr>
            <w:r>
              <w:rPr>
                <w:i/>
                <w:spacing w:val="-4"/>
                <w:sz w:val="20"/>
              </w:rPr>
              <w:t>Жене</w:t>
            </w:r>
          </w:p>
        </w:tc>
        <w:tc>
          <w:tcPr>
            <w:tcW w:w="1051" w:type="dxa"/>
            <w:tcBorders>
              <w:left w:val="single" w:sz="4" w:space="0" w:color="000000"/>
            </w:tcBorders>
          </w:tcPr>
          <w:p>
            <w:pPr>
              <w:pStyle w:val="TableParagraph"/>
              <w:spacing w:before="30"/>
              <w:ind w:right="246"/>
              <w:jc w:val="right"/>
              <w:rPr>
                <w:i/>
                <w:sz w:val="20"/>
              </w:rPr>
            </w:pPr>
            <w:r>
              <w:rPr>
                <w:i/>
                <w:spacing w:val="-4"/>
                <w:sz w:val="20"/>
              </w:rPr>
              <w:t>39,9</w:t>
            </w:r>
          </w:p>
        </w:tc>
        <w:tc>
          <w:tcPr>
            <w:tcW w:w="911" w:type="dxa"/>
          </w:tcPr>
          <w:p>
            <w:pPr>
              <w:pStyle w:val="TableParagraph"/>
              <w:spacing w:before="30"/>
              <w:ind w:right="243"/>
              <w:jc w:val="right"/>
              <w:rPr>
                <w:i/>
                <w:sz w:val="20"/>
              </w:rPr>
            </w:pPr>
            <w:r>
              <w:rPr>
                <w:i/>
                <w:spacing w:val="-4"/>
                <w:sz w:val="20"/>
              </w:rPr>
              <w:t>41,0</w:t>
            </w:r>
          </w:p>
        </w:tc>
        <w:tc>
          <w:tcPr>
            <w:tcW w:w="910" w:type="dxa"/>
          </w:tcPr>
          <w:p>
            <w:pPr>
              <w:pStyle w:val="TableParagraph"/>
              <w:spacing w:before="30"/>
              <w:ind w:right="245"/>
              <w:jc w:val="right"/>
              <w:rPr>
                <w:i/>
                <w:sz w:val="20"/>
              </w:rPr>
            </w:pPr>
            <w:r>
              <w:rPr>
                <w:i/>
                <w:spacing w:val="-4"/>
                <w:sz w:val="20"/>
              </w:rPr>
              <w:t>41,2</w:t>
            </w:r>
          </w:p>
        </w:tc>
        <w:tc>
          <w:tcPr>
            <w:tcW w:w="912" w:type="dxa"/>
          </w:tcPr>
          <w:p>
            <w:pPr>
              <w:pStyle w:val="TableParagraph"/>
              <w:spacing w:before="30"/>
              <w:ind w:left="66" w:right="1"/>
              <w:jc w:val="center"/>
              <w:rPr>
                <w:i/>
                <w:sz w:val="20"/>
              </w:rPr>
            </w:pPr>
            <w:r>
              <w:rPr>
                <w:i/>
                <w:spacing w:val="-4"/>
                <w:sz w:val="20"/>
              </w:rPr>
              <w:t>41,5</w:t>
            </w:r>
          </w:p>
        </w:tc>
        <w:tc>
          <w:tcPr>
            <w:tcW w:w="772" w:type="dxa"/>
            <w:tcBorders>
              <w:right w:val="single" w:sz="4" w:space="0" w:color="000000"/>
            </w:tcBorders>
          </w:tcPr>
          <w:p>
            <w:pPr>
              <w:pStyle w:val="TableParagraph"/>
              <w:spacing w:before="30"/>
              <w:ind w:right="100"/>
              <w:jc w:val="right"/>
              <w:rPr>
                <w:i/>
                <w:sz w:val="20"/>
              </w:rPr>
            </w:pPr>
            <w:r>
              <w:rPr>
                <w:i/>
                <w:spacing w:val="-4"/>
                <w:sz w:val="20"/>
              </w:rPr>
              <w:t>40,1</w:t>
            </w:r>
          </w:p>
        </w:tc>
        <w:tc>
          <w:tcPr>
            <w:tcW w:w="1275" w:type="dxa"/>
            <w:tcBorders>
              <w:left w:val="single" w:sz="4" w:space="0" w:color="000000"/>
            </w:tcBorders>
          </w:tcPr>
          <w:p>
            <w:pPr>
              <w:pStyle w:val="TableParagraph"/>
              <w:spacing w:before="30"/>
              <w:ind w:left="4" w:right="8"/>
              <w:jc w:val="center"/>
              <w:rPr>
                <w:i/>
                <w:sz w:val="20"/>
              </w:rPr>
            </w:pPr>
            <w:r>
              <w:rPr>
                <w:i/>
                <w:spacing w:val="-5"/>
                <w:sz w:val="20"/>
              </w:rPr>
              <w:t>0,2</w:t>
            </w:r>
          </w:p>
        </w:tc>
      </w:tr>
      <w:tr>
        <w:trPr>
          <w:trHeight w:val="302" w:hRule="atLeast"/>
        </w:trPr>
        <w:tc>
          <w:tcPr>
            <w:tcW w:w="3399" w:type="dxa"/>
            <w:tcBorders>
              <w:right w:val="single" w:sz="4" w:space="0" w:color="000000"/>
            </w:tcBorders>
          </w:tcPr>
          <w:p>
            <w:pPr>
              <w:pStyle w:val="TableParagraph"/>
              <w:spacing w:before="33"/>
              <w:ind w:left="223"/>
              <w:rPr>
                <w:b/>
                <w:i/>
                <w:sz w:val="20"/>
              </w:rPr>
            </w:pPr>
            <w:r>
              <w:rPr>
                <w:b/>
                <w:i/>
                <w:sz w:val="20"/>
              </w:rPr>
              <w:t>Родни</w:t>
            </w:r>
            <w:r>
              <w:rPr>
                <w:b/>
                <w:i/>
                <w:spacing w:val="-5"/>
                <w:sz w:val="20"/>
              </w:rPr>
              <w:t> </w:t>
            </w:r>
            <w:r>
              <w:rPr>
                <w:b/>
                <w:i/>
                <w:sz w:val="20"/>
              </w:rPr>
              <w:t>јаз</w:t>
            </w:r>
            <w:r>
              <w:rPr>
                <w:b/>
                <w:i/>
                <w:spacing w:val="-4"/>
                <w:sz w:val="20"/>
              </w:rPr>
              <w:t> </w:t>
            </w:r>
            <w:r>
              <w:rPr>
                <w:b/>
                <w:i/>
                <w:sz w:val="20"/>
              </w:rPr>
              <w:t>у</w:t>
            </w:r>
            <w:r>
              <w:rPr>
                <w:b/>
                <w:i/>
                <w:spacing w:val="-3"/>
                <w:sz w:val="20"/>
              </w:rPr>
              <w:t> </w:t>
            </w:r>
            <w:r>
              <w:rPr>
                <w:b/>
                <w:i/>
                <w:sz w:val="20"/>
              </w:rPr>
              <w:t>стопи</w:t>
            </w:r>
            <w:r>
              <w:rPr>
                <w:b/>
                <w:i/>
                <w:spacing w:val="-4"/>
                <w:sz w:val="20"/>
              </w:rPr>
              <w:t> </w:t>
            </w:r>
            <w:r>
              <w:rPr>
                <w:b/>
                <w:i/>
                <w:spacing w:val="-2"/>
                <w:sz w:val="20"/>
              </w:rPr>
              <w:t>активности</w:t>
            </w:r>
          </w:p>
        </w:tc>
        <w:tc>
          <w:tcPr>
            <w:tcW w:w="1051" w:type="dxa"/>
            <w:tcBorders>
              <w:left w:val="single" w:sz="4" w:space="0" w:color="000000"/>
            </w:tcBorders>
          </w:tcPr>
          <w:p>
            <w:pPr>
              <w:pStyle w:val="TableParagraph"/>
              <w:spacing w:before="33"/>
              <w:ind w:right="246"/>
              <w:jc w:val="right"/>
              <w:rPr>
                <w:b/>
                <w:i/>
                <w:sz w:val="20"/>
              </w:rPr>
            </w:pPr>
            <w:r>
              <w:rPr>
                <w:b/>
                <w:i/>
                <w:spacing w:val="-2"/>
                <w:sz w:val="20"/>
              </w:rPr>
              <w:t>-</w:t>
            </w:r>
            <w:r>
              <w:rPr>
                <w:b/>
                <w:i/>
                <w:spacing w:val="-4"/>
                <w:sz w:val="20"/>
              </w:rPr>
              <w:t>12,2</w:t>
            </w:r>
          </w:p>
        </w:tc>
        <w:tc>
          <w:tcPr>
            <w:tcW w:w="911" w:type="dxa"/>
          </w:tcPr>
          <w:p>
            <w:pPr>
              <w:pStyle w:val="TableParagraph"/>
              <w:spacing w:before="33"/>
              <w:ind w:right="243"/>
              <w:jc w:val="right"/>
              <w:rPr>
                <w:b/>
                <w:i/>
                <w:sz w:val="20"/>
              </w:rPr>
            </w:pPr>
            <w:r>
              <w:rPr>
                <w:b/>
                <w:i/>
                <w:spacing w:val="-2"/>
                <w:sz w:val="20"/>
              </w:rPr>
              <w:t>-</w:t>
            </w:r>
            <w:r>
              <w:rPr>
                <w:b/>
                <w:i/>
                <w:spacing w:val="-4"/>
                <w:sz w:val="20"/>
              </w:rPr>
              <w:t>12,0</w:t>
            </w:r>
          </w:p>
        </w:tc>
        <w:tc>
          <w:tcPr>
            <w:tcW w:w="910" w:type="dxa"/>
          </w:tcPr>
          <w:p>
            <w:pPr>
              <w:pStyle w:val="TableParagraph"/>
              <w:spacing w:before="33"/>
              <w:ind w:right="245"/>
              <w:jc w:val="right"/>
              <w:rPr>
                <w:b/>
                <w:i/>
                <w:sz w:val="20"/>
              </w:rPr>
            </w:pPr>
            <w:r>
              <w:rPr>
                <w:b/>
                <w:i/>
                <w:spacing w:val="-2"/>
                <w:sz w:val="20"/>
              </w:rPr>
              <w:t>-</w:t>
            </w:r>
            <w:r>
              <w:rPr>
                <w:b/>
                <w:i/>
                <w:spacing w:val="-4"/>
                <w:sz w:val="20"/>
              </w:rPr>
              <w:t>12,4</w:t>
            </w:r>
          </w:p>
        </w:tc>
        <w:tc>
          <w:tcPr>
            <w:tcW w:w="912" w:type="dxa"/>
          </w:tcPr>
          <w:p>
            <w:pPr>
              <w:pStyle w:val="TableParagraph"/>
              <w:spacing w:before="33"/>
              <w:ind w:left="65" w:right="66"/>
              <w:jc w:val="center"/>
              <w:rPr>
                <w:b/>
                <w:i/>
                <w:sz w:val="20"/>
              </w:rPr>
            </w:pPr>
            <w:r>
              <w:rPr>
                <w:b/>
                <w:i/>
                <w:spacing w:val="-2"/>
                <w:sz w:val="20"/>
              </w:rPr>
              <w:t>-</w:t>
            </w:r>
            <w:r>
              <w:rPr>
                <w:b/>
                <w:i/>
                <w:spacing w:val="-4"/>
                <w:sz w:val="20"/>
              </w:rPr>
              <w:t>12,9</w:t>
            </w:r>
          </w:p>
        </w:tc>
        <w:tc>
          <w:tcPr>
            <w:tcW w:w="772" w:type="dxa"/>
            <w:tcBorders>
              <w:right w:val="single" w:sz="4" w:space="0" w:color="000000"/>
            </w:tcBorders>
          </w:tcPr>
          <w:p>
            <w:pPr>
              <w:pStyle w:val="TableParagraph"/>
              <w:spacing w:before="33"/>
              <w:ind w:right="100"/>
              <w:jc w:val="right"/>
              <w:rPr>
                <w:b/>
                <w:i/>
                <w:sz w:val="20"/>
              </w:rPr>
            </w:pPr>
            <w:r>
              <w:rPr>
                <w:b/>
                <w:i/>
                <w:spacing w:val="-2"/>
                <w:sz w:val="20"/>
              </w:rPr>
              <w:t>-</w:t>
            </w:r>
            <w:r>
              <w:rPr>
                <w:b/>
                <w:i/>
                <w:spacing w:val="-4"/>
                <w:sz w:val="20"/>
              </w:rPr>
              <w:t>13,4</w:t>
            </w:r>
          </w:p>
        </w:tc>
        <w:tc>
          <w:tcPr>
            <w:tcW w:w="1275" w:type="dxa"/>
            <w:tcBorders>
              <w:left w:val="single" w:sz="4" w:space="0" w:color="000000"/>
            </w:tcBorders>
          </w:tcPr>
          <w:p>
            <w:pPr>
              <w:pStyle w:val="TableParagraph"/>
              <w:rPr>
                <w:sz w:val="22"/>
              </w:rPr>
            </w:pPr>
          </w:p>
        </w:tc>
      </w:tr>
      <w:tr>
        <w:trPr>
          <w:trHeight w:val="297" w:hRule="atLeast"/>
        </w:trPr>
        <w:tc>
          <w:tcPr>
            <w:tcW w:w="3399" w:type="dxa"/>
            <w:tcBorders>
              <w:right w:val="single" w:sz="4" w:space="0" w:color="000000"/>
            </w:tcBorders>
          </w:tcPr>
          <w:p>
            <w:pPr>
              <w:pStyle w:val="TableParagraph"/>
              <w:spacing w:before="30"/>
              <w:ind w:left="122"/>
              <w:rPr>
                <w:b/>
                <w:sz w:val="20"/>
              </w:rPr>
            </w:pPr>
            <w:r>
              <w:rPr>
                <w:b/>
                <w:sz w:val="20"/>
              </w:rPr>
              <w:t>Стопа</w:t>
            </w:r>
            <w:r>
              <w:rPr>
                <w:b/>
                <w:spacing w:val="-5"/>
                <w:sz w:val="20"/>
              </w:rPr>
              <w:t> </w:t>
            </w:r>
            <w:r>
              <w:rPr>
                <w:b/>
                <w:spacing w:val="-2"/>
                <w:sz w:val="20"/>
              </w:rPr>
              <w:t>запослености</w:t>
            </w:r>
          </w:p>
        </w:tc>
        <w:tc>
          <w:tcPr>
            <w:tcW w:w="1051" w:type="dxa"/>
            <w:tcBorders>
              <w:left w:val="single" w:sz="4" w:space="0" w:color="000000"/>
            </w:tcBorders>
          </w:tcPr>
          <w:p>
            <w:pPr>
              <w:pStyle w:val="TableParagraph"/>
              <w:spacing w:before="30"/>
              <w:ind w:right="246"/>
              <w:jc w:val="right"/>
              <w:rPr>
                <w:b/>
                <w:sz w:val="20"/>
              </w:rPr>
            </w:pPr>
            <w:r>
              <w:rPr>
                <w:b/>
                <w:spacing w:val="-4"/>
                <w:sz w:val="20"/>
              </w:rPr>
              <w:t>30,2</w:t>
            </w:r>
          </w:p>
        </w:tc>
        <w:tc>
          <w:tcPr>
            <w:tcW w:w="911" w:type="dxa"/>
          </w:tcPr>
          <w:p>
            <w:pPr>
              <w:pStyle w:val="TableParagraph"/>
              <w:spacing w:before="30"/>
              <w:ind w:right="243"/>
              <w:jc w:val="right"/>
              <w:rPr>
                <w:b/>
                <w:sz w:val="20"/>
              </w:rPr>
            </w:pPr>
            <w:r>
              <w:rPr>
                <w:b/>
                <w:spacing w:val="-4"/>
                <w:sz w:val="20"/>
              </w:rPr>
              <w:t>33,1</w:t>
            </w:r>
          </w:p>
        </w:tc>
        <w:tc>
          <w:tcPr>
            <w:tcW w:w="910" w:type="dxa"/>
          </w:tcPr>
          <w:p>
            <w:pPr>
              <w:pStyle w:val="TableParagraph"/>
              <w:spacing w:before="30"/>
              <w:ind w:right="245"/>
              <w:jc w:val="right"/>
              <w:rPr>
                <w:b/>
                <w:sz w:val="20"/>
              </w:rPr>
            </w:pPr>
            <w:r>
              <w:rPr>
                <w:b/>
                <w:spacing w:val="-4"/>
                <w:sz w:val="20"/>
              </w:rPr>
              <w:t>34,9</w:t>
            </w:r>
          </w:p>
        </w:tc>
        <w:tc>
          <w:tcPr>
            <w:tcW w:w="912" w:type="dxa"/>
          </w:tcPr>
          <w:p>
            <w:pPr>
              <w:pStyle w:val="TableParagraph"/>
              <w:spacing w:before="30"/>
              <w:ind w:left="66" w:right="1"/>
              <w:jc w:val="center"/>
              <w:rPr>
                <w:b/>
                <w:sz w:val="20"/>
              </w:rPr>
            </w:pPr>
            <w:r>
              <w:rPr>
                <w:b/>
                <w:spacing w:val="-4"/>
                <w:sz w:val="20"/>
              </w:rPr>
              <w:t>36,3</w:t>
            </w:r>
          </w:p>
        </w:tc>
        <w:tc>
          <w:tcPr>
            <w:tcW w:w="772" w:type="dxa"/>
            <w:tcBorders>
              <w:right w:val="single" w:sz="4" w:space="0" w:color="000000"/>
            </w:tcBorders>
          </w:tcPr>
          <w:p>
            <w:pPr>
              <w:pStyle w:val="TableParagraph"/>
              <w:spacing w:before="30"/>
              <w:ind w:right="100"/>
              <w:jc w:val="right"/>
              <w:rPr>
                <w:b/>
                <w:sz w:val="20"/>
              </w:rPr>
            </w:pPr>
            <w:r>
              <w:rPr>
                <w:b/>
                <w:spacing w:val="-4"/>
                <w:sz w:val="20"/>
              </w:rPr>
              <w:t>36,9</w:t>
            </w:r>
          </w:p>
        </w:tc>
        <w:tc>
          <w:tcPr>
            <w:tcW w:w="1275" w:type="dxa"/>
            <w:tcBorders>
              <w:left w:val="single" w:sz="4" w:space="0" w:color="000000"/>
            </w:tcBorders>
          </w:tcPr>
          <w:p>
            <w:pPr>
              <w:pStyle w:val="TableParagraph"/>
              <w:spacing w:before="30"/>
              <w:ind w:left="4" w:right="8"/>
              <w:jc w:val="center"/>
              <w:rPr>
                <w:b/>
                <w:sz w:val="20"/>
              </w:rPr>
            </w:pPr>
            <w:r>
              <w:rPr>
                <w:b/>
                <w:spacing w:val="-5"/>
                <w:sz w:val="20"/>
              </w:rPr>
              <w:t>6,7</w:t>
            </w:r>
          </w:p>
        </w:tc>
      </w:tr>
      <w:tr>
        <w:trPr>
          <w:trHeight w:val="297" w:hRule="atLeast"/>
        </w:trPr>
        <w:tc>
          <w:tcPr>
            <w:tcW w:w="3399" w:type="dxa"/>
            <w:tcBorders>
              <w:right w:val="single" w:sz="4" w:space="0" w:color="000000"/>
            </w:tcBorders>
          </w:tcPr>
          <w:p>
            <w:pPr>
              <w:pStyle w:val="TableParagraph"/>
              <w:spacing w:before="28"/>
              <w:ind w:left="623"/>
              <w:rPr>
                <w:i/>
                <w:sz w:val="20"/>
              </w:rPr>
            </w:pPr>
            <w:r>
              <w:rPr>
                <w:i/>
                <w:spacing w:val="-2"/>
                <w:sz w:val="20"/>
              </w:rPr>
              <w:t>Мушкарци</w:t>
            </w:r>
          </w:p>
        </w:tc>
        <w:tc>
          <w:tcPr>
            <w:tcW w:w="1051" w:type="dxa"/>
            <w:tcBorders>
              <w:left w:val="single" w:sz="4" w:space="0" w:color="000000"/>
            </w:tcBorders>
          </w:tcPr>
          <w:p>
            <w:pPr>
              <w:pStyle w:val="TableParagraph"/>
              <w:spacing w:before="28"/>
              <w:ind w:right="246"/>
              <w:jc w:val="right"/>
              <w:rPr>
                <w:i/>
                <w:sz w:val="20"/>
              </w:rPr>
            </w:pPr>
            <w:r>
              <w:rPr>
                <w:i/>
                <w:spacing w:val="-4"/>
                <w:sz w:val="20"/>
              </w:rPr>
              <w:t>35,2</w:t>
            </w:r>
          </w:p>
        </w:tc>
        <w:tc>
          <w:tcPr>
            <w:tcW w:w="911" w:type="dxa"/>
          </w:tcPr>
          <w:p>
            <w:pPr>
              <w:pStyle w:val="TableParagraph"/>
              <w:spacing w:before="28"/>
              <w:ind w:right="243"/>
              <w:jc w:val="right"/>
              <w:rPr>
                <w:i/>
                <w:sz w:val="20"/>
              </w:rPr>
            </w:pPr>
            <w:r>
              <w:rPr>
                <w:i/>
                <w:spacing w:val="-4"/>
                <w:sz w:val="20"/>
              </w:rPr>
              <w:t>38,4</w:t>
            </w:r>
          </w:p>
        </w:tc>
        <w:tc>
          <w:tcPr>
            <w:tcW w:w="910" w:type="dxa"/>
          </w:tcPr>
          <w:p>
            <w:pPr>
              <w:pStyle w:val="TableParagraph"/>
              <w:spacing w:before="28"/>
              <w:ind w:right="245"/>
              <w:jc w:val="right"/>
              <w:rPr>
                <w:i/>
                <w:sz w:val="20"/>
              </w:rPr>
            </w:pPr>
            <w:r>
              <w:rPr>
                <w:i/>
                <w:spacing w:val="-4"/>
                <w:sz w:val="20"/>
              </w:rPr>
              <w:t>40,3</w:t>
            </w:r>
          </w:p>
        </w:tc>
        <w:tc>
          <w:tcPr>
            <w:tcW w:w="912" w:type="dxa"/>
          </w:tcPr>
          <w:p>
            <w:pPr>
              <w:pStyle w:val="TableParagraph"/>
              <w:spacing w:before="28"/>
              <w:ind w:left="66" w:right="1"/>
              <w:jc w:val="center"/>
              <w:rPr>
                <w:i/>
                <w:sz w:val="20"/>
              </w:rPr>
            </w:pPr>
            <w:r>
              <w:rPr>
                <w:i/>
                <w:spacing w:val="-4"/>
                <w:sz w:val="20"/>
              </w:rPr>
              <w:t>41,9</w:t>
            </w:r>
          </w:p>
        </w:tc>
        <w:tc>
          <w:tcPr>
            <w:tcW w:w="772" w:type="dxa"/>
            <w:tcBorders>
              <w:right w:val="single" w:sz="4" w:space="0" w:color="000000"/>
            </w:tcBorders>
          </w:tcPr>
          <w:p>
            <w:pPr>
              <w:pStyle w:val="TableParagraph"/>
              <w:spacing w:before="28"/>
              <w:ind w:right="100"/>
              <w:jc w:val="right"/>
              <w:rPr>
                <w:i/>
                <w:sz w:val="20"/>
              </w:rPr>
            </w:pPr>
            <w:r>
              <w:rPr>
                <w:i/>
                <w:spacing w:val="-4"/>
                <w:sz w:val="20"/>
              </w:rPr>
              <w:t>42,4</w:t>
            </w:r>
          </w:p>
        </w:tc>
        <w:tc>
          <w:tcPr>
            <w:tcW w:w="1275" w:type="dxa"/>
            <w:tcBorders>
              <w:left w:val="single" w:sz="4" w:space="0" w:color="000000"/>
            </w:tcBorders>
          </w:tcPr>
          <w:p>
            <w:pPr>
              <w:pStyle w:val="TableParagraph"/>
              <w:spacing w:before="28"/>
              <w:ind w:left="4" w:right="8"/>
              <w:jc w:val="center"/>
              <w:rPr>
                <w:i/>
                <w:sz w:val="20"/>
              </w:rPr>
            </w:pPr>
            <w:r>
              <w:rPr>
                <w:i/>
                <w:spacing w:val="-5"/>
                <w:sz w:val="20"/>
              </w:rPr>
              <w:t>7,2</w:t>
            </w:r>
          </w:p>
        </w:tc>
      </w:tr>
      <w:tr>
        <w:trPr>
          <w:trHeight w:val="302" w:hRule="atLeast"/>
        </w:trPr>
        <w:tc>
          <w:tcPr>
            <w:tcW w:w="3399" w:type="dxa"/>
            <w:tcBorders>
              <w:right w:val="single" w:sz="4" w:space="0" w:color="000000"/>
            </w:tcBorders>
          </w:tcPr>
          <w:p>
            <w:pPr>
              <w:pStyle w:val="TableParagraph"/>
              <w:spacing w:before="30"/>
              <w:ind w:left="575"/>
              <w:rPr>
                <w:i/>
                <w:sz w:val="20"/>
              </w:rPr>
            </w:pPr>
            <w:r>
              <w:rPr>
                <w:i/>
                <w:spacing w:val="-4"/>
                <w:sz w:val="20"/>
              </w:rPr>
              <w:t>Жене</w:t>
            </w:r>
          </w:p>
        </w:tc>
        <w:tc>
          <w:tcPr>
            <w:tcW w:w="1051" w:type="dxa"/>
            <w:tcBorders>
              <w:left w:val="single" w:sz="4" w:space="0" w:color="000000"/>
            </w:tcBorders>
          </w:tcPr>
          <w:p>
            <w:pPr>
              <w:pStyle w:val="TableParagraph"/>
              <w:spacing w:before="30"/>
              <w:ind w:right="246"/>
              <w:jc w:val="right"/>
              <w:rPr>
                <w:i/>
                <w:sz w:val="20"/>
              </w:rPr>
            </w:pPr>
            <w:r>
              <w:rPr>
                <w:i/>
                <w:spacing w:val="-4"/>
                <w:sz w:val="20"/>
              </w:rPr>
              <w:t>25,0</w:t>
            </w:r>
          </w:p>
        </w:tc>
        <w:tc>
          <w:tcPr>
            <w:tcW w:w="911" w:type="dxa"/>
          </w:tcPr>
          <w:p>
            <w:pPr>
              <w:pStyle w:val="TableParagraph"/>
              <w:spacing w:before="30"/>
              <w:ind w:right="243"/>
              <w:jc w:val="right"/>
              <w:rPr>
                <w:i/>
                <w:sz w:val="20"/>
              </w:rPr>
            </w:pPr>
            <w:r>
              <w:rPr>
                <w:i/>
                <w:spacing w:val="-4"/>
                <w:sz w:val="20"/>
              </w:rPr>
              <w:t>27,5</w:t>
            </w:r>
          </w:p>
        </w:tc>
        <w:tc>
          <w:tcPr>
            <w:tcW w:w="910" w:type="dxa"/>
          </w:tcPr>
          <w:p>
            <w:pPr>
              <w:pStyle w:val="TableParagraph"/>
              <w:spacing w:before="30"/>
              <w:ind w:right="245"/>
              <w:jc w:val="right"/>
              <w:rPr>
                <w:i/>
                <w:sz w:val="20"/>
              </w:rPr>
            </w:pPr>
            <w:r>
              <w:rPr>
                <w:i/>
                <w:spacing w:val="-4"/>
                <w:sz w:val="20"/>
              </w:rPr>
              <w:t>29,1</w:t>
            </w:r>
          </w:p>
        </w:tc>
        <w:tc>
          <w:tcPr>
            <w:tcW w:w="912" w:type="dxa"/>
          </w:tcPr>
          <w:p>
            <w:pPr>
              <w:pStyle w:val="TableParagraph"/>
              <w:spacing w:before="30"/>
              <w:ind w:left="66" w:right="1"/>
              <w:jc w:val="center"/>
              <w:rPr>
                <w:i/>
                <w:sz w:val="20"/>
              </w:rPr>
            </w:pPr>
            <w:r>
              <w:rPr>
                <w:i/>
                <w:spacing w:val="-4"/>
                <w:sz w:val="20"/>
              </w:rPr>
              <w:t>30,5</w:t>
            </w:r>
          </w:p>
        </w:tc>
        <w:tc>
          <w:tcPr>
            <w:tcW w:w="772" w:type="dxa"/>
            <w:tcBorders>
              <w:right w:val="single" w:sz="4" w:space="0" w:color="000000"/>
            </w:tcBorders>
          </w:tcPr>
          <w:p>
            <w:pPr>
              <w:pStyle w:val="TableParagraph"/>
              <w:spacing w:before="30"/>
              <w:ind w:right="100"/>
              <w:jc w:val="right"/>
              <w:rPr>
                <w:i/>
                <w:sz w:val="20"/>
              </w:rPr>
            </w:pPr>
            <w:r>
              <w:rPr>
                <w:i/>
                <w:spacing w:val="-4"/>
                <w:sz w:val="20"/>
              </w:rPr>
              <w:t>31,1</w:t>
            </w:r>
          </w:p>
        </w:tc>
        <w:tc>
          <w:tcPr>
            <w:tcW w:w="1275" w:type="dxa"/>
            <w:tcBorders>
              <w:left w:val="single" w:sz="4" w:space="0" w:color="000000"/>
            </w:tcBorders>
          </w:tcPr>
          <w:p>
            <w:pPr>
              <w:pStyle w:val="TableParagraph"/>
              <w:spacing w:before="30"/>
              <w:ind w:left="4" w:right="8"/>
              <w:jc w:val="center"/>
              <w:rPr>
                <w:i/>
                <w:sz w:val="20"/>
              </w:rPr>
            </w:pPr>
            <w:r>
              <w:rPr>
                <w:i/>
                <w:spacing w:val="-5"/>
                <w:sz w:val="20"/>
              </w:rPr>
              <w:t>6,1</w:t>
            </w:r>
          </w:p>
        </w:tc>
      </w:tr>
      <w:tr>
        <w:trPr>
          <w:trHeight w:val="319" w:hRule="atLeast"/>
        </w:trPr>
        <w:tc>
          <w:tcPr>
            <w:tcW w:w="3399" w:type="dxa"/>
            <w:tcBorders>
              <w:right w:val="single" w:sz="4" w:space="0" w:color="000000"/>
            </w:tcBorders>
          </w:tcPr>
          <w:p>
            <w:pPr>
              <w:pStyle w:val="TableParagraph"/>
              <w:spacing w:before="66"/>
              <w:ind w:left="223"/>
              <w:rPr>
                <w:b/>
                <w:i/>
                <w:sz w:val="20"/>
              </w:rPr>
            </w:pPr>
            <w:r>
              <w:rPr>
                <w:b/>
                <w:i/>
                <w:sz w:val="20"/>
              </w:rPr>
              <w:t>Родни</w:t>
            </w:r>
            <w:r>
              <w:rPr>
                <w:b/>
                <w:i/>
                <w:spacing w:val="-5"/>
                <w:sz w:val="20"/>
              </w:rPr>
              <w:t> </w:t>
            </w:r>
            <w:r>
              <w:rPr>
                <w:b/>
                <w:i/>
                <w:sz w:val="20"/>
              </w:rPr>
              <w:t>јаз</w:t>
            </w:r>
            <w:r>
              <w:rPr>
                <w:b/>
                <w:i/>
                <w:spacing w:val="-4"/>
                <w:sz w:val="20"/>
              </w:rPr>
              <w:t> </w:t>
            </w:r>
            <w:r>
              <w:rPr>
                <w:b/>
                <w:i/>
                <w:sz w:val="20"/>
              </w:rPr>
              <w:t>у</w:t>
            </w:r>
            <w:r>
              <w:rPr>
                <w:b/>
                <w:i/>
                <w:spacing w:val="-3"/>
                <w:sz w:val="20"/>
              </w:rPr>
              <w:t> </w:t>
            </w:r>
            <w:r>
              <w:rPr>
                <w:b/>
                <w:i/>
                <w:sz w:val="20"/>
              </w:rPr>
              <w:t>стопи</w:t>
            </w:r>
            <w:r>
              <w:rPr>
                <w:b/>
                <w:i/>
                <w:spacing w:val="-4"/>
                <w:sz w:val="20"/>
              </w:rPr>
              <w:t> </w:t>
            </w:r>
            <w:r>
              <w:rPr>
                <w:b/>
                <w:i/>
                <w:spacing w:val="-2"/>
                <w:sz w:val="20"/>
              </w:rPr>
              <w:t>запослености</w:t>
            </w:r>
          </w:p>
        </w:tc>
        <w:tc>
          <w:tcPr>
            <w:tcW w:w="1051" w:type="dxa"/>
            <w:tcBorders>
              <w:left w:val="single" w:sz="4" w:space="0" w:color="000000"/>
            </w:tcBorders>
          </w:tcPr>
          <w:p>
            <w:pPr>
              <w:pStyle w:val="TableParagraph"/>
              <w:spacing w:before="33"/>
              <w:ind w:right="246"/>
              <w:jc w:val="right"/>
              <w:rPr>
                <w:b/>
                <w:i/>
                <w:sz w:val="20"/>
              </w:rPr>
            </w:pPr>
            <w:r>
              <w:rPr>
                <w:b/>
                <w:i/>
                <w:spacing w:val="-2"/>
                <w:sz w:val="20"/>
              </w:rPr>
              <w:t>-</w:t>
            </w:r>
            <w:r>
              <w:rPr>
                <w:b/>
                <w:i/>
                <w:spacing w:val="-4"/>
                <w:sz w:val="20"/>
              </w:rPr>
              <w:t>10,2</w:t>
            </w:r>
          </w:p>
        </w:tc>
        <w:tc>
          <w:tcPr>
            <w:tcW w:w="911" w:type="dxa"/>
          </w:tcPr>
          <w:p>
            <w:pPr>
              <w:pStyle w:val="TableParagraph"/>
              <w:spacing w:before="33"/>
              <w:ind w:right="243"/>
              <w:jc w:val="right"/>
              <w:rPr>
                <w:b/>
                <w:i/>
                <w:sz w:val="20"/>
              </w:rPr>
            </w:pPr>
            <w:r>
              <w:rPr>
                <w:b/>
                <w:i/>
                <w:spacing w:val="-2"/>
                <w:sz w:val="20"/>
              </w:rPr>
              <w:t>-</w:t>
            </w:r>
            <w:r>
              <w:rPr>
                <w:b/>
                <w:i/>
                <w:spacing w:val="-4"/>
                <w:sz w:val="20"/>
              </w:rPr>
              <w:t>10,9</w:t>
            </w:r>
          </w:p>
        </w:tc>
        <w:tc>
          <w:tcPr>
            <w:tcW w:w="910" w:type="dxa"/>
          </w:tcPr>
          <w:p>
            <w:pPr>
              <w:pStyle w:val="TableParagraph"/>
              <w:spacing w:before="33"/>
              <w:ind w:right="245"/>
              <w:jc w:val="right"/>
              <w:rPr>
                <w:b/>
                <w:i/>
                <w:sz w:val="20"/>
              </w:rPr>
            </w:pPr>
            <w:r>
              <w:rPr>
                <w:b/>
                <w:i/>
                <w:spacing w:val="-2"/>
                <w:sz w:val="20"/>
              </w:rPr>
              <w:t>-</w:t>
            </w:r>
            <w:r>
              <w:rPr>
                <w:b/>
                <w:i/>
                <w:spacing w:val="-4"/>
                <w:sz w:val="20"/>
              </w:rPr>
              <w:t>11,2</w:t>
            </w:r>
          </w:p>
        </w:tc>
        <w:tc>
          <w:tcPr>
            <w:tcW w:w="912" w:type="dxa"/>
          </w:tcPr>
          <w:p>
            <w:pPr>
              <w:pStyle w:val="TableParagraph"/>
              <w:spacing w:before="33"/>
              <w:ind w:left="65" w:right="66"/>
              <w:jc w:val="center"/>
              <w:rPr>
                <w:b/>
                <w:i/>
                <w:sz w:val="20"/>
              </w:rPr>
            </w:pPr>
            <w:r>
              <w:rPr>
                <w:b/>
                <w:i/>
                <w:spacing w:val="-2"/>
                <w:sz w:val="20"/>
              </w:rPr>
              <w:t>-</w:t>
            </w:r>
            <w:r>
              <w:rPr>
                <w:b/>
                <w:i/>
                <w:spacing w:val="-4"/>
                <w:sz w:val="20"/>
              </w:rPr>
              <w:t>11,5</w:t>
            </w:r>
          </w:p>
        </w:tc>
        <w:tc>
          <w:tcPr>
            <w:tcW w:w="772" w:type="dxa"/>
            <w:tcBorders>
              <w:right w:val="single" w:sz="4" w:space="0" w:color="000000"/>
            </w:tcBorders>
          </w:tcPr>
          <w:p>
            <w:pPr>
              <w:pStyle w:val="TableParagraph"/>
              <w:spacing w:before="33"/>
              <w:ind w:right="100"/>
              <w:jc w:val="right"/>
              <w:rPr>
                <w:b/>
                <w:i/>
                <w:sz w:val="20"/>
              </w:rPr>
            </w:pPr>
            <w:r>
              <w:rPr>
                <w:b/>
                <w:i/>
                <w:spacing w:val="-2"/>
                <w:sz w:val="20"/>
              </w:rPr>
              <w:t>-</w:t>
            </w:r>
            <w:r>
              <w:rPr>
                <w:b/>
                <w:i/>
                <w:spacing w:val="-4"/>
                <w:sz w:val="20"/>
              </w:rPr>
              <w:t>11,4</w:t>
            </w:r>
          </w:p>
        </w:tc>
        <w:tc>
          <w:tcPr>
            <w:tcW w:w="1275" w:type="dxa"/>
            <w:tcBorders>
              <w:left w:val="single" w:sz="4" w:space="0" w:color="000000"/>
            </w:tcBorders>
          </w:tcPr>
          <w:p>
            <w:pPr>
              <w:pStyle w:val="TableParagraph"/>
              <w:rPr>
                <w:sz w:val="22"/>
              </w:rPr>
            </w:pPr>
          </w:p>
        </w:tc>
      </w:tr>
      <w:tr>
        <w:trPr>
          <w:trHeight w:val="280" w:hRule="atLeast"/>
        </w:trPr>
        <w:tc>
          <w:tcPr>
            <w:tcW w:w="3399" w:type="dxa"/>
            <w:tcBorders>
              <w:right w:val="single" w:sz="4" w:space="0" w:color="000000"/>
            </w:tcBorders>
          </w:tcPr>
          <w:p>
            <w:pPr>
              <w:pStyle w:val="TableParagraph"/>
              <w:spacing w:before="13"/>
              <w:ind w:left="122"/>
              <w:rPr>
                <w:b/>
                <w:sz w:val="20"/>
              </w:rPr>
            </w:pPr>
            <w:r>
              <w:rPr>
                <w:b/>
                <w:sz w:val="20"/>
              </w:rPr>
              <w:t>Стопа</w:t>
            </w:r>
            <w:r>
              <w:rPr>
                <w:b/>
                <w:spacing w:val="-5"/>
                <w:sz w:val="20"/>
              </w:rPr>
              <w:t> </w:t>
            </w:r>
            <w:r>
              <w:rPr>
                <w:b/>
                <w:spacing w:val="-2"/>
                <w:sz w:val="20"/>
              </w:rPr>
              <w:t>незапослености</w:t>
            </w:r>
          </w:p>
        </w:tc>
        <w:tc>
          <w:tcPr>
            <w:tcW w:w="1051" w:type="dxa"/>
            <w:tcBorders>
              <w:left w:val="single" w:sz="4" w:space="0" w:color="000000"/>
            </w:tcBorders>
          </w:tcPr>
          <w:p>
            <w:pPr>
              <w:pStyle w:val="TableParagraph"/>
              <w:spacing w:before="13"/>
              <w:ind w:right="246"/>
              <w:jc w:val="right"/>
              <w:rPr>
                <w:b/>
                <w:sz w:val="20"/>
              </w:rPr>
            </w:pPr>
            <w:r>
              <w:rPr>
                <w:b/>
                <w:spacing w:val="-4"/>
                <w:sz w:val="20"/>
              </w:rPr>
              <w:t>34,5</w:t>
            </w:r>
          </w:p>
        </w:tc>
        <w:tc>
          <w:tcPr>
            <w:tcW w:w="911" w:type="dxa"/>
          </w:tcPr>
          <w:p>
            <w:pPr>
              <w:pStyle w:val="TableParagraph"/>
              <w:spacing w:before="13"/>
              <w:ind w:right="243"/>
              <w:jc w:val="right"/>
              <w:rPr>
                <w:b/>
                <w:sz w:val="20"/>
              </w:rPr>
            </w:pPr>
            <w:r>
              <w:rPr>
                <w:b/>
                <w:spacing w:val="-4"/>
                <w:sz w:val="20"/>
              </w:rPr>
              <w:t>29,8</w:t>
            </w:r>
          </w:p>
        </w:tc>
        <w:tc>
          <w:tcPr>
            <w:tcW w:w="910" w:type="dxa"/>
          </w:tcPr>
          <w:p>
            <w:pPr>
              <w:pStyle w:val="TableParagraph"/>
              <w:spacing w:before="13"/>
              <w:ind w:right="245"/>
              <w:jc w:val="right"/>
              <w:rPr>
                <w:b/>
                <w:sz w:val="20"/>
              </w:rPr>
            </w:pPr>
            <w:r>
              <w:rPr>
                <w:b/>
                <w:spacing w:val="-4"/>
                <w:sz w:val="20"/>
              </w:rPr>
              <w:t>26,7</w:t>
            </w:r>
          </w:p>
        </w:tc>
        <w:tc>
          <w:tcPr>
            <w:tcW w:w="912" w:type="dxa"/>
          </w:tcPr>
          <w:p>
            <w:pPr>
              <w:pStyle w:val="TableParagraph"/>
              <w:spacing w:before="13"/>
              <w:ind w:left="66" w:right="1"/>
              <w:jc w:val="center"/>
              <w:rPr>
                <w:b/>
                <w:sz w:val="20"/>
              </w:rPr>
            </w:pPr>
            <w:r>
              <w:rPr>
                <w:b/>
                <w:spacing w:val="-4"/>
                <w:sz w:val="20"/>
              </w:rPr>
              <w:t>24,5</w:t>
            </w:r>
          </w:p>
        </w:tc>
        <w:tc>
          <w:tcPr>
            <w:tcW w:w="772" w:type="dxa"/>
            <w:tcBorders>
              <w:right w:val="single" w:sz="4" w:space="0" w:color="000000"/>
            </w:tcBorders>
          </w:tcPr>
          <w:p>
            <w:pPr>
              <w:pStyle w:val="TableParagraph"/>
              <w:spacing w:before="13"/>
              <w:ind w:right="100"/>
              <w:jc w:val="right"/>
              <w:rPr>
                <w:b/>
                <w:sz w:val="20"/>
              </w:rPr>
            </w:pPr>
            <w:r>
              <w:rPr>
                <w:b/>
                <w:spacing w:val="-4"/>
                <w:sz w:val="20"/>
              </w:rPr>
              <w:t>21,5</w:t>
            </w:r>
          </w:p>
        </w:tc>
        <w:tc>
          <w:tcPr>
            <w:tcW w:w="1275" w:type="dxa"/>
            <w:tcBorders>
              <w:left w:val="single" w:sz="4" w:space="0" w:color="000000"/>
            </w:tcBorders>
          </w:tcPr>
          <w:p>
            <w:pPr>
              <w:pStyle w:val="TableParagraph"/>
              <w:spacing w:before="13"/>
              <w:ind w:left="4" w:right="9"/>
              <w:jc w:val="center"/>
              <w:rPr>
                <w:b/>
                <w:sz w:val="20"/>
              </w:rPr>
            </w:pPr>
            <w:r>
              <w:rPr>
                <w:b/>
                <w:spacing w:val="-2"/>
                <w:sz w:val="20"/>
              </w:rPr>
              <w:t>-</w:t>
            </w:r>
            <w:r>
              <w:rPr>
                <w:b/>
                <w:spacing w:val="-4"/>
                <w:sz w:val="20"/>
              </w:rPr>
              <w:t>13,0</w:t>
            </w:r>
          </w:p>
        </w:tc>
      </w:tr>
      <w:tr>
        <w:trPr>
          <w:trHeight w:val="297" w:hRule="atLeast"/>
        </w:trPr>
        <w:tc>
          <w:tcPr>
            <w:tcW w:w="3399" w:type="dxa"/>
            <w:tcBorders>
              <w:right w:val="single" w:sz="4" w:space="0" w:color="000000"/>
            </w:tcBorders>
          </w:tcPr>
          <w:p>
            <w:pPr>
              <w:pStyle w:val="TableParagraph"/>
              <w:spacing w:before="28"/>
              <w:ind w:left="623"/>
              <w:rPr>
                <w:i/>
                <w:sz w:val="20"/>
              </w:rPr>
            </w:pPr>
            <w:r>
              <w:rPr>
                <w:i/>
                <w:spacing w:val="-2"/>
                <w:sz w:val="20"/>
              </w:rPr>
              <w:t>Мушкарци</w:t>
            </w:r>
          </w:p>
        </w:tc>
        <w:tc>
          <w:tcPr>
            <w:tcW w:w="1051" w:type="dxa"/>
            <w:tcBorders>
              <w:left w:val="single" w:sz="4" w:space="0" w:color="000000"/>
            </w:tcBorders>
          </w:tcPr>
          <w:p>
            <w:pPr>
              <w:pStyle w:val="TableParagraph"/>
              <w:spacing w:before="28"/>
              <w:ind w:right="246"/>
              <w:jc w:val="right"/>
              <w:rPr>
                <w:i/>
                <w:sz w:val="20"/>
              </w:rPr>
            </w:pPr>
            <w:r>
              <w:rPr>
                <w:i/>
                <w:spacing w:val="-4"/>
                <w:sz w:val="20"/>
              </w:rPr>
              <w:t>32,4</w:t>
            </w:r>
          </w:p>
        </w:tc>
        <w:tc>
          <w:tcPr>
            <w:tcW w:w="911" w:type="dxa"/>
          </w:tcPr>
          <w:p>
            <w:pPr>
              <w:pStyle w:val="TableParagraph"/>
              <w:spacing w:before="28"/>
              <w:ind w:right="243"/>
              <w:jc w:val="right"/>
              <w:rPr>
                <w:i/>
                <w:sz w:val="20"/>
              </w:rPr>
            </w:pPr>
            <w:r>
              <w:rPr>
                <w:i/>
                <w:spacing w:val="-4"/>
                <w:sz w:val="20"/>
              </w:rPr>
              <w:t>27,5</w:t>
            </w:r>
          </w:p>
        </w:tc>
        <w:tc>
          <w:tcPr>
            <w:tcW w:w="910" w:type="dxa"/>
          </w:tcPr>
          <w:p>
            <w:pPr>
              <w:pStyle w:val="TableParagraph"/>
              <w:spacing w:before="28"/>
              <w:ind w:right="245"/>
              <w:jc w:val="right"/>
              <w:rPr>
                <w:i/>
                <w:sz w:val="20"/>
              </w:rPr>
            </w:pPr>
            <w:r>
              <w:rPr>
                <w:i/>
                <w:spacing w:val="-4"/>
                <w:sz w:val="20"/>
              </w:rPr>
              <w:t>24,8</w:t>
            </w:r>
          </w:p>
        </w:tc>
        <w:tc>
          <w:tcPr>
            <w:tcW w:w="912" w:type="dxa"/>
          </w:tcPr>
          <w:p>
            <w:pPr>
              <w:pStyle w:val="TableParagraph"/>
              <w:spacing w:before="28"/>
              <w:ind w:left="66" w:right="1"/>
              <w:jc w:val="center"/>
              <w:rPr>
                <w:i/>
                <w:sz w:val="20"/>
              </w:rPr>
            </w:pPr>
            <w:r>
              <w:rPr>
                <w:i/>
                <w:spacing w:val="-4"/>
                <w:sz w:val="20"/>
              </w:rPr>
              <w:t>23,0</w:t>
            </w:r>
          </w:p>
        </w:tc>
        <w:tc>
          <w:tcPr>
            <w:tcW w:w="772" w:type="dxa"/>
            <w:tcBorders>
              <w:right w:val="single" w:sz="4" w:space="0" w:color="000000"/>
            </w:tcBorders>
          </w:tcPr>
          <w:p>
            <w:pPr>
              <w:pStyle w:val="TableParagraph"/>
              <w:spacing w:before="28"/>
              <w:ind w:right="100"/>
              <w:jc w:val="right"/>
              <w:rPr>
                <w:i/>
                <w:sz w:val="20"/>
              </w:rPr>
            </w:pPr>
            <w:r>
              <w:rPr>
                <w:i/>
                <w:spacing w:val="-4"/>
                <w:sz w:val="20"/>
              </w:rPr>
              <w:t>20,8</w:t>
            </w:r>
          </w:p>
        </w:tc>
        <w:tc>
          <w:tcPr>
            <w:tcW w:w="1275" w:type="dxa"/>
            <w:tcBorders>
              <w:left w:val="single" w:sz="4" w:space="0" w:color="000000"/>
            </w:tcBorders>
          </w:tcPr>
          <w:p>
            <w:pPr>
              <w:pStyle w:val="TableParagraph"/>
              <w:spacing w:before="28"/>
              <w:ind w:left="4" w:right="9"/>
              <w:jc w:val="center"/>
              <w:rPr>
                <w:i/>
                <w:sz w:val="20"/>
              </w:rPr>
            </w:pPr>
            <w:r>
              <w:rPr>
                <w:i/>
                <w:spacing w:val="-2"/>
                <w:sz w:val="20"/>
              </w:rPr>
              <w:t>-</w:t>
            </w:r>
            <w:r>
              <w:rPr>
                <w:i/>
                <w:spacing w:val="-4"/>
                <w:sz w:val="20"/>
              </w:rPr>
              <w:t>11,6</w:t>
            </w:r>
          </w:p>
        </w:tc>
      </w:tr>
      <w:tr>
        <w:trPr>
          <w:trHeight w:val="302" w:hRule="atLeast"/>
        </w:trPr>
        <w:tc>
          <w:tcPr>
            <w:tcW w:w="3399" w:type="dxa"/>
            <w:tcBorders>
              <w:right w:val="single" w:sz="4" w:space="0" w:color="000000"/>
            </w:tcBorders>
          </w:tcPr>
          <w:p>
            <w:pPr>
              <w:pStyle w:val="TableParagraph"/>
              <w:spacing w:before="30"/>
              <w:ind w:left="575"/>
              <w:rPr>
                <w:i/>
                <w:sz w:val="20"/>
              </w:rPr>
            </w:pPr>
            <w:r>
              <w:rPr>
                <w:i/>
                <w:spacing w:val="-4"/>
                <w:sz w:val="20"/>
              </w:rPr>
              <w:t>Жене</w:t>
            </w:r>
          </w:p>
        </w:tc>
        <w:tc>
          <w:tcPr>
            <w:tcW w:w="1051" w:type="dxa"/>
            <w:tcBorders>
              <w:left w:val="single" w:sz="4" w:space="0" w:color="000000"/>
            </w:tcBorders>
          </w:tcPr>
          <w:p>
            <w:pPr>
              <w:pStyle w:val="TableParagraph"/>
              <w:spacing w:before="30"/>
              <w:ind w:right="246"/>
              <w:jc w:val="right"/>
              <w:rPr>
                <w:i/>
                <w:sz w:val="20"/>
              </w:rPr>
            </w:pPr>
            <w:r>
              <w:rPr>
                <w:i/>
                <w:spacing w:val="-4"/>
                <w:sz w:val="20"/>
              </w:rPr>
              <w:t>37,4</w:t>
            </w:r>
          </w:p>
        </w:tc>
        <w:tc>
          <w:tcPr>
            <w:tcW w:w="911" w:type="dxa"/>
          </w:tcPr>
          <w:p>
            <w:pPr>
              <w:pStyle w:val="TableParagraph"/>
              <w:spacing w:before="30"/>
              <w:ind w:right="243"/>
              <w:jc w:val="right"/>
              <w:rPr>
                <w:i/>
                <w:sz w:val="20"/>
              </w:rPr>
            </w:pPr>
            <w:r>
              <w:rPr>
                <w:i/>
                <w:spacing w:val="-4"/>
                <w:sz w:val="20"/>
              </w:rPr>
              <w:t>32,8</w:t>
            </w:r>
          </w:p>
        </w:tc>
        <w:tc>
          <w:tcPr>
            <w:tcW w:w="910" w:type="dxa"/>
          </w:tcPr>
          <w:p>
            <w:pPr>
              <w:pStyle w:val="TableParagraph"/>
              <w:spacing w:before="30"/>
              <w:ind w:right="245"/>
              <w:jc w:val="right"/>
              <w:rPr>
                <w:i/>
                <w:sz w:val="20"/>
              </w:rPr>
            </w:pPr>
            <w:r>
              <w:rPr>
                <w:i/>
                <w:spacing w:val="-4"/>
                <w:sz w:val="20"/>
              </w:rPr>
              <w:t>29,3</w:t>
            </w:r>
          </w:p>
        </w:tc>
        <w:tc>
          <w:tcPr>
            <w:tcW w:w="912" w:type="dxa"/>
          </w:tcPr>
          <w:p>
            <w:pPr>
              <w:pStyle w:val="TableParagraph"/>
              <w:spacing w:before="30"/>
              <w:ind w:left="66" w:right="1"/>
              <w:jc w:val="center"/>
              <w:rPr>
                <w:i/>
                <w:sz w:val="20"/>
              </w:rPr>
            </w:pPr>
            <w:r>
              <w:rPr>
                <w:i/>
                <w:spacing w:val="-4"/>
                <w:sz w:val="20"/>
              </w:rPr>
              <w:t>26,6</w:t>
            </w:r>
          </w:p>
        </w:tc>
        <w:tc>
          <w:tcPr>
            <w:tcW w:w="772" w:type="dxa"/>
            <w:tcBorders>
              <w:right w:val="single" w:sz="4" w:space="0" w:color="000000"/>
            </w:tcBorders>
          </w:tcPr>
          <w:p>
            <w:pPr>
              <w:pStyle w:val="TableParagraph"/>
              <w:spacing w:before="30"/>
              <w:ind w:right="100"/>
              <w:jc w:val="right"/>
              <w:rPr>
                <w:i/>
                <w:sz w:val="20"/>
              </w:rPr>
            </w:pPr>
            <w:r>
              <w:rPr>
                <w:i/>
                <w:spacing w:val="-4"/>
                <w:sz w:val="20"/>
              </w:rPr>
              <w:t>22,5</w:t>
            </w:r>
          </w:p>
        </w:tc>
        <w:tc>
          <w:tcPr>
            <w:tcW w:w="1275" w:type="dxa"/>
            <w:tcBorders>
              <w:left w:val="single" w:sz="4" w:space="0" w:color="000000"/>
            </w:tcBorders>
          </w:tcPr>
          <w:p>
            <w:pPr>
              <w:pStyle w:val="TableParagraph"/>
              <w:spacing w:before="30"/>
              <w:ind w:left="4" w:right="9"/>
              <w:jc w:val="center"/>
              <w:rPr>
                <w:i/>
                <w:sz w:val="20"/>
              </w:rPr>
            </w:pPr>
            <w:r>
              <w:rPr>
                <w:i/>
                <w:spacing w:val="-2"/>
                <w:sz w:val="20"/>
              </w:rPr>
              <w:t>-</w:t>
            </w:r>
            <w:r>
              <w:rPr>
                <w:i/>
                <w:spacing w:val="-4"/>
                <w:sz w:val="20"/>
              </w:rPr>
              <w:t>14,9</w:t>
            </w:r>
          </w:p>
        </w:tc>
      </w:tr>
      <w:tr>
        <w:trPr>
          <w:trHeight w:val="319" w:hRule="atLeast"/>
        </w:trPr>
        <w:tc>
          <w:tcPr>
            <w:tcW w:w="3399" w:type="dxa"/>
            <w:tcBorders>
              <w:right w:val="single" w:sz="4" w:space="0" w:color="000000"/>
            </w:tcBorders>
          </w:tcPr>
          <w:p>
            <w:pPr>
              <w:pStyle w:val="TableParagraph"/>
              <w:spacing w:before="66"/>
              <w:ind w:left="223"/>
              <w:rPr>
                <w:b/>
                <w:i/>
                <w:sz w:val="20"/>
              </w:rPr>
            </w:pPr>
            <w:r>
              <w:rPr>
                <w:b/>
                <w:i/>
                <w:sz w:val="20"/>
              </w:rPr>
              <w:t>Родни</w:t>
            </w:r>
            <w:r>
              <w:rPr>
                <w:b/>
                <w:i/>
                <w:spacing w:val="-5"/>
                <w:sz w:val="20"/>
              </w:rPr>
              <w:t> </w:t>
            </w:r>
            <w:r>
              <w:rPr>
                <w:b/>
                <w:i/>
                <w:sz w:val="20"/>
              </w:rPr>
              <w:t>јаз</w:t>
            </w:r>
            <w:r>
              <w:rPr>
                <w:b/>
                <w:i/>
                <w:spacing w:val="-4"/>
                <w:sz w:val="20"/>
              </w:rPr>
              <w:t> </w:t>
            </w:r>
            <w:r>
              <w:rPr>
                <w:b/>
                <w:i/>
                <w:sz w:val="20"/>
              </w:rPr>
              <w:t>у</w:t>
            </w:r>
            <w:r>
              <w:rPr>
                <w:b/>
                <w:i/>
                <w:spacing w:val="-3"/>
                <w:sz w:val="20"/>
              </w:rPr>
              <w:t> </w:t>
            </w:r>
            <w:r>
              <w:rPr>
                <w:b/>
                <w:i/>
                <w:sz w:val="20"/>
              </w:rPr>
              <w:t>стопи</w:t>
            </w:r>
            <w:r>
              <w:rPr>
                <w:b/>
                <w:i/>
                <w:spacing w:val="-4"/>
                <w:sz w:val="20"/>
              </w:rPr>
              <w:t> </w:t>
            </w:r>
            <w:r>
              <w:rPr>
                <w:b/>
                <w:i/>
                <w:spacing w:val="-2"/>
                <w:sz w:val="20"/>
              </w:rPr>
              <w:t>незапослености</w:t>
            </w:r>
          </w:p>
        </w:tc>
        <w:tc>
          <w:tcPr>
            <w:tcW w:w="1051" w:type="dxa"/>
            <w:tcBorders>
              <w:left w:val="single" w:sz="4" w:space="0" w:color="000000"/>
            </w:tcBorders>
          </w:tcPr>
          <w:p>
            <w:pPr>
              <w:pStyle w:val="TableParagraph"/>
              <w:spacing w:before="33"/>
              <w:ind w:right="246"/>
              <w:jc w:val="right"/>
              <w:rPr>
                <w:b/>
                <w:i/>
                <w:sz w:val="20"/>
              </w:rPr>
            </w:pPr>
            <w:r>
              <w:rPr>
                <w:b/>
                <w:i/>
                <w:spacing w:val="-5"/>
                <w:sz w:val="20"/>
              </w:rPr>
              <w:t>5,0</w:t>
            </w:r>
          </w:p>
        </w:tc>
        <w:tc>
          <w:tcPr>
            <w:tcW w:w="911" w:type="dxa"/>
          </w:tcPr>
          <w:p>
            <w:pPr>
              <w:pStyle w:val="TableParagraph"/>
              <w:spacing w:before="33"/>
              <w:ind w:right="243"/>
              <w:jc w:val="right"/>
              <w:rPr>
                <w:b/>
                <w:i/>
                <w:sz w:val="20"/>
              </w:rPr>
            </w:pPr>
            <w:r>
              <w:rPr>
                <w:b/>
                <w:i/>
                <w:spacing w:val="-5"/>
                <w:sz w:val="20"/>
              </w:rPr>
              <w:t>5,3</w:t>
            </w:r>
          </w:p>
        </w:tc>
        <w:tc>
          <w:tcPr>
            <w:tcW w:w="910" w:type="dxa"/>
          </w:tcPr>
          <w:p>
            <w:pPr>
              <w:pStyle w:val="TableParagraph"/>
              <w:spacing w:before="33"/>
              <w:ind w:right="245"/>
              <w:jc w:val="right"/>
              <w:rPr>
                <w:b/>
                <w:i/>
                <w:sz w:val="20"/>
              </w:rPr>
            </w:pPr>
            <w:r>
              <w:rPr>
                <w:b/>
                <w:i/>
                <w:spacing w:val="-5"/>
                <w:sz w:val="20"/>
              </w:rPr>
              <w:t>4,5</w:t>
            </w:r>
          </w:p>
        </w:tc>
        <w:tc>
          <w:tcPr>
            <w:tcW w:w="912" w:type="dxa"/>
          </w:tcPr>
          <w:p>
            <w:pPr>
              <w:pStyle w:val="TableParagraph"/>
              <w:spacing w:before="33"/>
              <w:ind w:left="166"/>
              <w:jc w:val="center"/>
              <w:rPr>
                <w:b/>
                <w:i/>
                <w:sz w:val="20"/>
              </w:rPr>
            </w:pPr>
            <w:r>
              <w:rPr>
                <w:b/>
                <w:i/>
                <w:spacing w:val="-5"/>
                <w:sz w:val="20"/>
              </w:rPr>
              <w:t>3,6</w:t>
            </w:r>
          </w:p>
        </w:tc>
        <w:tc>
          <w:tcPr>
            <w:tcW w:w="772" w:type="dxa"/>
            <w:tcBorders>
              <w:right w:val="single" w:sz="4" w:space="0" w:color="000000"/>
            </w:tcBorders>
          </w:tcPr>
          <w:p>
            <w:pPr>
              <w:pStyle w:val="TableParagraph"/>
              <w:spacing w:before="33"/>
              <w:ind w:right="100"/>
              <w:jc w:val="right"/>
              <w:rPr>
                <w:b/>
                <w:i/>
                <w:sz w:val="20"/>
              </w:rPr>
            </w:pPr>
            <w:r>
              <w:rPr>
                <w:b/>
                <w:i/>
                <w:spacing w:val="-5"/>
                <w:sz w:val="20"/>
              </w:rPr>
              <w:t>1,7</w:t>
            </w:r>
          </w:p>
        </w:tc>
        <w:tc>
          <w:tcPr>
            <w:tcW w:w="1275" w:type="dxa"/>
            <w:tcBorders>
              <w:left w:val="single" w:sz="4" w:space="0" w:color="000000"/>
            </w:tcBorders>
          </w:tcPr>
          <w:p>
            <w:pPr>
              <w:pStyle w:val="TableParagraph"/>
              <w:rPr>
                <w:sz w:val="22"/>
              </w:rPr>
            </w:pPr>
          </w:p>
        </w:tc>
      </w:tr>
      <w:tr>
        <w:trPr>
          <w:trHeight w:val="280" w:hRule="atLeast"/>
        </w:trPr>
        <w:tc>
          <w:tcPr>
            <w:tcW w:w="3399" w:type="dxa"/>
            <w:tcBorders>
              <w:right w:val="single" w:sz="4" w:space="0" w:color="000000"/>
            </w:tcBorders>
          </w:tcPr>
          <w:p>
            <w:pPr>
              <w:pStyle w:val="TableParagraph"/>
              <w:spacing w:before="13"/>
              <w:ind w:left="122"/>
              <w:rPr>
                <w:b/>
                <w:sz w:val="20"/>
              </w:rPr>
            </w:pPr>
            <w:r>
              <w:rPr>
                <w:b/>
                <w:sz w:val="20"/>
              </w:rPr>
              <w:t>Стопа</w:t>
            </w:r>
            <w:r>
              <w:rPr>
                <w:b/>
                <w:spacing w:val="-5"/>
                <w:sz w:val="20"/>
              </w:rPr>
              <w:t> </w:t>
            </w:r>
            <w:r>
              <w:rPr>
                <w:b/>
                <w:spacing w:val="-2"/>
                <w:sz w:val="20"/>
              </w:rPr>
              <w:t>неактивности</w:t>
            </w:r>
          </w:p>
        </w:tc>
        <w:tc>
          <w:tcPr>
            <w:tcW w:w="1051" w:type="dxa"/>
            <w:tcBorders>
              <w:left w:val="single" w:sz="4" w:space="0" w:color="000000"/>
            </w:tcBorders>
          </w:tcPr>
          <w:p>
            <w:pPr>
              <w:pStyle w:val="TableParagraph"/>
              <w:spacing w:before="13"/>
              <w:ind w:right="246"/>
              <w:jc w:val="right"/>
              <w:rPr>
                <w:b/>
                <w:sz w:val="20"/>
              </w:rPr>
            </w:pPr>
            <w:r>
              <w:rPr>
                <w:b/>
                <w:spacing w:val="-4"/>
                <w:sz w:val="20"/>
              </w:rPr>
              <w:t>53,9</w:t>
            </w:r>
          </w:p>
        </w:tc>
        <w:tc>
          <w:tcPr>
            <w:tcW w:w="911" w:type="dxa"/>
          </w:tcPr>
          <w:p>
            <w:pPr>
              <w:pStyle w:val="TableParagraph"/>
              <w:spacing w:before="13"/>
              <w:ind w:right="243"/>
              <w:jc w:val="right"/>
              <w:rPr>
                <w:b/>
                <w:sz w:val="20"/>
              </w:rPr>
            </w:pPr>
            <w:r>
              <w:rPr>
                <w:b/>
                <w:spacing w:val="-4"/>
                <w:sz w:val="20"/>
              </w:rPr>
              <w:t>52,8</w:t>
            </w:r>
          </w:p>
        </w:tc>
        <w:tc>
          <w:tcPr>
            <w:tcW w:w="910" w:type="dxa"/>
          </w:tcPr>
          <w:p>
            <w:pPr>
              <w:pStyle w:val="TableParagraph"/>
              <w:spacing w:before="13"/>
              <w:ind w:right="245"/>
              <w:jc w:val="right"/>
              <w:rPr>
                <w:b/>
                <w:sz w:val="20"/>
              </w:rPr>
            </w:pPr>
            <w:r>
              <w:rPr>
                <w:b/>
                <w:spacing w:val="-4"/>
                <w:sz w:val="20"/>
              </w:rPr>
              <w:t>52,4</w:t>
            </w:r>
          </w:p>
        </w:tc>
        <w:tc>
          <w:tcPr>
            <w:tcW w:w="912" w:type="dxa"/>
          </w:tcPr>
          <w:p>
            <w:pPr>
              <w:pStyle w:val="TableParagraph"/>
              <w:spacing w:before="13"/>
              <w:ind w:left="66" w:right="1"/>
              <w:jc w:val="center"/>
              <w:rPr>
                <w:b/>
                <w:sz w:val="20"/>
              </w:rPr>
            </w:pPr>
            <w:r>
              <w:rPr>
                <w:b/>
                <w:spacing w:val="-4"/>
                <w:sz w:val="20"/>
              </w:rPr>
              <w:t>51,9</w:t>
            </w:r>
          </w:p>
        </w:tc>
        <w:tc>
          <w:tcPr>
            <w:tcW w:w="772" w:type="dxa"/>
            <w:tcBorders>
              <w:right w:val="single" w:sz="4" w:space="0" w:color="000000"/>
            </w:tcBorders>
          </w:tcPr>
          <w:p>
            <w:pPr>
              <w:pStyle w:val="TableParagraph"/>
              <w:spacing w:before="13"/>
              <w:ind w:right="100"/>
              <w:jc w:val="right"/>
              <w:rPr>
                <w:b/>
                <w:sz w:val="20"/>
              </w:rPr>
            </w:pPr>
            <w:r>
              <w:rPr>
                <w:b/>
                <w:spacing w:val="-4"/>
                <w:sz w:val="20"/>
              </w:rPr>
              <w:t>53,0</w:t>
            </w:r>
          </w:p>
        </w:tc>
        <w:tc>
          <w:tcPr>
            <w:tcW w:w="1275" w:type="dxa"/>
            <w:tcBorders>
              <w:left w:val="single" w:sz="4" w:space="0" w:color="000000"/>
            </w:tcBorders>
          </w:tcPr>
          <w:p>
            <w:pPr>
              <w:pStyle w:val="TableParagraph"/>
              <w:spacing w:before="13"/>
              <w:ind w:left="4" w:right="8"/>
              <w:jc w:val="center"/>
              <w:rPr>
                <w:b/>
                <w:sz w:val="20"/>
              </w:rPr>
            </w:pPr>
            <w:r>
              <w:rPr>
                <w:b/>
                <w:spacing w:val="-2"/>
                <w:sz w:val="20"/>
              </w:rPr>
              <w:t>-</w:t>
            </w:r>
            <w:r>
              <w:rPr>
                <w:b/>
                <w:spacing w:val="-5"/>
                <w:sz w:val="20"/>
              </w:rPr>
              <w:t>0,9</w:t>
            </w:r>
          </w:p>
        </w:tc>
      </w:tr>
      <w:tr>
        <w:trPr>
          <w:trHeight w:val="297" w:hRule="atLeast"/>
        </w:trPr>
        <w:tc>
          <w:tcPr>
            <w:tcW w:w="3399" w:type="dxa"/>
            <w:tcBorders>
              <w:right w:val="single" w:sz="4" w:space="0" w:color="000000"/>
            </w:tcBorders>
          </w:tcPr>
          <w:p>
            <w:pPr>
              <w:pStyle w:val="TableParagraph"/>
              <w:spacing w:before="28"/>
              <w:ind w:left="623"/>
              <w:rPr>
                <w:i/>
                <w:sz w:val="20"/>
              </w:rPr>
            </w:pPr>
            <w:r>
              <w:rPr>
                <w:i/>
                <w:spacing w:val="-2"/>
                <w:sz w:val="20"/>
              </w:rPr>
              <w:t>Мушкарци</w:t>
            </w:r>
          </w:p>
        </w:tc>
        <w:tc>
          <w:tcPr>
            <w:tcW w:w="1051" w:type="dxa"/>
            <w:tcBorders>
              <w:left w:val="single" w:sz="4" w:space="0" w:color="000000"/>
            </w:tcBorders>
          </w:tcPr>
          <w:p>
            <w:pPr>
              <w:pStyle w:val="TableParagraph"/>
              <w:spacing w:before="28"/>
              <w:ind w:right="246"/>
              <w:jc w:val="right"/>
              <w:rPr>
                <w:i/>
                <w:sz w:val="20"/>
              </w:rPr>
            </w:pPr>
            <w:r>
              <w:rPr>
                <w:i/>
                <w:spacing w:val="-4"/>
                <w:sz w:val="20"/>
              </w:rPr>
              <w:t>48,0</w:t>
            </w:r>
          </w:p>
        </w:tc>
        <w:tc>
          <w:tcPr>
            <w:tcW w:w="911" w:type="dxa"/>
          </w:tcPr>
          <w:p>
            <w:pPr>
              <w:pStyle w:val="TableParagraph"/>
              <w:spacing w:before="28"/>
              <w:ind w:right="243"/>
              <w:jc w:val="right"/>
              <w:rPr>
                <w:i/>
                <w:sz w:val="20"/>
              </w:rPr>
            </w:pPr>
            <w:r>
              <w:rPr>
                <w:i/>
                <w:spacing w:val="-4"/>
                <w:sz w:val="20"/>
              </w:rPr>
              <w:t>47,0</w:t>
            </w:r>
          </w:p>
        </w:tc>
        <w:tc>
          <w:tcPr>
            <w:tcW w:w="910" w:type="dxa"/>
          </w:tcPr>
          <w:p>
            <w:pPr>
              <w:pStyle w:val="TableParagraph"/>
              <w:spacing w:before="28"/>
              <w:ind w:right="245"/>
              <w:jc w:val="right"/>
              <w:rPr>
                <w:i/>
                <w:sz w:val="20"/>
              </w:rPr>
            </w:pPr>
            <w:r>
              <w:rPr>
                <w:i/>
                <w:spacing w:val="-4"/>
                <w:sz w:val="20"/>
              </w:rPr>
              <w:t>46,4</w:t>
            </w:r>
          </w:p>
        </w:tc>
        <w:tc>
          <w:tcPr>
            <w:tcW w:w="912" w:type="dxa"/>
          </w:tcPr>
          <w:p>
            <w:pPr>
              <w:pStyle w:val="TableParagraph"/>
              <w:spacing w:before="28"/>
              <w:ind w:left="66" w:right="1"/>
              <w:jc w:val="center"/>
              <w:rPr>
                <w:i/>
                <w:sz w:val="20"/>
              </w:rPr>
            </w:pPr>
            <w:r>
              <w:rPr>
                <w:i/>
                <w:spacing w:val="-4"/>
                <w:sz w:val="20"/>
              </w:rPr>
              <w:t>45,6</w:t>
            </w:r>
          </w:p>
        </w:tc>
        <w:tc>
          <w:tcPr>
            <w:tcW w:w="772" w:type="dxa"/>
            <w:tcBorders>
              <w:right w:val="single" w:sz="4" w:space="0" w:color="000000"/>
            </w:tcBorders>
          </w:tcPr>
          <w:p>
            <w:pPr>
              <w:pStyle w:val="TableParagraph"/>
              <w:spacing w:before="28"/>
              <w:ind w:right="100"/>
              <w:jc w:val="right"/>
              <w:rPr>
                <w:i/>
                <w:sz w:val="20"/>
              </w:rPr>
            </w:pPr>
            <w:r>
              <w:rPr>
                <w:i/>
                <w:spacing w:val="-4"/>
                <w:sz w:val="20"/>
              </w:rPr>
              <w:t>46,5</w:t>
            </w:r>
          </w:p>
        </w:tc>
        <w:tc>
          <w:tcPr>
            <w:tcW w:w="1275" w:type="dxa"/>
            <w:tcBorders>
              <w:left w:val="single" w:sz="4" w:space="0" w:color="000000"/>
            </w:tcBorders>
          </w:tcPr>
          <w:p>
            <w:pPr>
              <w:pStyle w:val="TableParagraph"/>
              <w:spacing w:before="28"/>
              <w:ind w:left="4" w:right="8"/>
              <w:jc w:val="center"/>
              <w:rPr>
                <w:i/>
                <w:sz w:val="20"/>
              </w:rPr>
            </w:pPr>
            <w:r>
              <w:rPr>
                <w:i/>
                <w:spacing w:val="-2"/>
                <w:sz w:val="20"/>
              </w:rPr>
              <w:t>-</w:t>
            </w:r>
            <w:r>
              <w:rPr>
                <w:i/>
                <w:spacing w:val="-5"/>
                <w:sz w:val="20"/>
              </w:rPr>
              <w:t>1,5</w:t>
            </w:r>
          </w:p>
        </w:tc>
      </w:tr>
      <w:tr>
        <w:trPr>
          <w:trHeight w:val="302" w:hRule="atLeast"/>
        </w:trPr>
        <w:tc>
          <w:tcPr>
            <w:tcW w:w="3399" w:type="dxa"/>
            <w:tcBorders>
              <w:right w:val="single" w:sz="4" w:space="0" w:color="000000"/>
            </w:tcBorders>
          </w:tcPr>
          <w:p>
            <w:pPr>
              <w:pStyle w:val="TableParagraph"/>
              <w:spacing w:before="30"/>
              <w:ind w:left="575"/>
              <w:rPr>
                <w:i/>
                <w:sz w:val="20"/>
              </w:rPr>
            </w:pPr>
            <w:r>
              <w:rPr>
                <w:i/>
                <w:spacing w:val="-4"/>
                <w:sz w:val="20"/>
              </w:rPr>
              <w:t>Жене</w:t>
            </w:r>
          </w:p>
        </w:tc>
        <w:tc>
          <w:tcPr>
            <w:tcW w:w="1051" w:type="dxa"/>
            <w:tcBorders>
              <w:left w:val="single" w:sz="4" w:space="0" w:color="000000"/>
            </w:tcBorders>
          </w:tcPr>
          <w:p>
            <w:pPr>
              <w:pStyle w:val="TableParagraph"/>
              <w:spacing w:before="30"/>
              <w:ind w:right="246"/>
              <w:jc w:val="right"/>
              <w:rPr>
                <w:i/>
                <w:sz w:val="20"/>
              </w:rPr>
            </w:pPr>
            <w:r>
              <w:rPr>
                <w:i/>
                <w:spacing w:val="-4"/>
                <w:sz w:val="20"/>
              </w:rPr>
              <w:t>60,1</w:t>
            </w:r>
          </w:p>
        </w:tc>
        <w:tc>
          <w:tcPr>
            <w:tcW w:w="911" w:type="dxa"/>
          </w:tcPr>
          <w:p>
            <w:pPr>
              <w:pStyle w:val="TableParagraph"/>
              <w:spacing w:before="30"/>
              <w:ind w:right="243"/>
              <w:jc w:val="right"/>
              <w:rPr>
                <w:i/>
                <w:sz w:val="20"/>
              </w:rPr>
            </w:pPr>
            <w:r>
              <w:rPr>
                <w:i/>
                <w:spacing w:val="-4"/>
                <w:sz w:val="20"/>
              </w:rPr>
              <w:t>59,0</w:t>
            </w:r>
          </w:p>
        </w:tc>
        <w:tc>
          <w:tcPr>
            <w:tcW w:w="910" w:type="dxa"/>
          </w:tcPr>
          <w:p>
            <w:pPr>
              <w:pStyle w:val="TableParagraph"/>
              <w:spacing w:before="30"/>
              <w:ind w:right="245"/>
              <w:jc w:val="right"/>
              <w:rPr>
                <w:i/>
                <w:sz w:val="20"/>
              </w:rPr>
            </w:pPr>
            <w:r>
              <w:rPr>
                <w:i/>
                <w:spacing w:val="-4"/>
                <w:sz w:val="20"/>
              </w:rPr>
              <w:t>58,8</w:t>
            </w:r>
          </w:p>
        </w:tc>
        <w:tc>
          <w:tcPr>
            <w:tcW w:w="912" w:type="dxa"/>
          </w:tcPr>
          <w:p>
            <w:pPr>
              <w:pStyle w:val="TableParagraph"/>
              <w:spacing w:before="30"/>
              <w:ind w:left="66" w:right="1"/>
              <w:jc w:val="center"/>
              <w:rPr>
                <w:i/>
                <w:sz w:val="20"/>
              </w:rPr>
            </w:pPr>
            <w:r>
              <w:rPr>
                <w:i/>
                <w:spacing w:val="-4"/>
                <w:sz w:val="20"/>
              </w:rPr>
              <w:t>58,5</w:t>
            </w:r>
          </w:p>
        </w:tc>
        <w:tc>
          <w:tcPr>
            <w:tcW w:w="772" w:type="dxa"/>
            <w:tcBorders>
              <w:right w:val="single" w:sz="4" w:space="0" w:color="000000"/>
            </w:tcBorders>
          </w:tcPr>
          <w:p>
            <w:pPr>
              <w:pStyle w:val="TableParagraph"/>
              <w:spacing w:before="30"/>
              <w:ind w:right="100"/>
              <w:jc w:val="right"/>
              <w:rPr>
                <w:i/>
                <w:sz w:val="20"/>
              </w:rPr>
            </w:pPr>
            <w:r>
              <w:rPr>
                <w:i/>
                <w:spacing w:val="-4"/>
                <w:sz w:val="20"/>
              </w:rPr>
              <w:t>59,9</w:t>
            </w:r>
          </w:p>
        </w:tc>
        <w:tc>
          <w:tcPr>
            <w:tcW w:w="1275" w:type="dxa"/>
            <w:tcBorders>
              <w:left w:val="single" w:sz="4" w:space="0" w:color="000000"/>
            </w:tcBorders>
          </w:tcPr>
          <w:p>
            <w:pPr>
              <w:pStyle w:val="TableParagraph"/>
              <w:spacing w:before="30"/>
              <w:ind w:left="4" w:right="8"/>
              <w:jc w:val="center"/>
              <w:rPr>
                <w:i/>
                <w:sz w:val="20"/>
              </w:rPr>
            </w:pPr>
            <w:r>
              <w:rPr>
                <w:i/>
                <w:spacing w:val="-2"/>
                <w:sz w:val="20"/>
              </w:rPr>
              <w:t>-</w:t>
            </w:r>
            <w:r>
              <w:rPr>
                <w:i/>
                <w:spacing w:val="-5"/>
                <w:sz w:val="20"/>
              </w:rPr>
              <w:t>0,2</w:t>
            </w:r>
          </w:p>
        </w:tc>
      </w:tr>
      <w:tr>
        <w:trPr>
          <w:trHeight w:val="298" w:hRule="atLeast"/>
        </w:trPr>
        <w:tc>
          <w:tcPr>
            <w:tcW w:w="3399" w:type="dxa"/>
            <w:tcBorders>
              <w:bottom w:val="single" w:sz="4" w:space="0" w:color="000000"/>
              <w:right w:val="single" w:sz="4" w:space="0" w:color="000000"/>
            </w:tcBorders>
          </w:tcPr>
          <w:p>
            <w:pPr>
              <w:pStyle w:val="TableParagraph"/>
              <w:spacing w:line="212" w:lineRule="exact" w:before="66"/>
              <w:ind w:left="223"/>
              <w:rPr>
                <w:b/>
                <w:i/>
                <w:sz w:val="20"/>
              </w:rPr>
            </w:pPr>
            <w:r>
              <w:rPr>
                <w:b/>
                <w:i/>
                <w:sz w:val="20"/>
              </w:rPr>
              <w:t>Родни</w:t>
            </w:r>
            <w:r>
              <w:rPr>
                <w:b/>
                <w:i/>
                <w:spacing w:val="-5"/>
                <w:sz w:val="20"/>
              </w:rPr>
              <w:t> </w:t>
            </w:r>
            <w:r>
              <w:rPr>
                <w:b/>
                <w:i/>
                <w:sz w:val="20"/>
              </w:rPr>
              <w:t>јаз</w:t>
            </w:r>
            <w:r>
              <w:rPr>
                <w:b/>
                <w:i/>
                <w:spacing w:val="-4"/>
                <w:sz w:val="20"/>
              </w:rPr>
              <w:t> </w:t>
            </w:r>
            <w:r>
              <w:rPr>
                <w:b/>
                <w:i/>
                <w:sz w:val="20"/>
              </w:rPr>
              <w:t>у</w:t>
            </w:r>
            <w:r>
              <w:rPr>
                <w:b/>
                <w:i/>
                <w:spacing w:val="-3"/>
                <w:sz w:val="20"/>
              </w:rPr>
              <w:t> </w:t>
            </w:r>
            <w:r>
              <w:rPr>
                <w:b/>
                <w:i/>
                <w:sz w:val="20"/>
              </w:rPr>
              <w:t>стопи</w:t>
            </w:r>
            <w:r>
              <w:rPr>
                <w:b/>
                <w:i/>
                <w:spacing w:val="-4"/>
                <w:sz w:val="20"/>
              </w:rPr>
              <w:t> </w:t>
            </w:r>
            <w:r>
              <w:rPr>
                <w:b/>
                <w:i/>
                <w:spacing w:val="-2"/>
                <w:sz w:val="20"/>
              </w:rPr>
              <w:t>неактивности</w:t>
            </w:r>
          </w:p>
        </w:tc>
        <w:tc>
          <w:tcPr>
            <w:tcW w:w="1051" w:type="dxa"/>
            <w:tcBorders>
              <w:left w:val="single" w:sz="4" w:space="0" w:color="000000"/>
              <w:bottom w:val="single" w:sz="4" w:space="0" w:color="000000"/>
            </w:tcBorders>
          </w:tcPr>
          <w:p>
            <w:pPr>
              <w:pStyle w:val="TableParagraph"/>
              <w:spacing w:before="33"/>
              <w:ind w:right="246"/>
              <w:jc w:val="right"/>
              <w:rPr>
                <w:b/>
                <w:i/>
                <w:sz w:val="20"/>
              </w:rPr>
            </w:pPr>
            <w:r>
              <w:rPr>
                <w:b/>
                <w:i/>
                <w:spacing w:val="-4"/>
                <w:sz w:val="20"/>
              </w:rPr>
              <w:t>12,2</w:t>
            </w:r>
          </w:p>
        </w:tc>
        <w:tc>
          <w:tcPr>
            <w:tcW w:w="911" w:type="dxa"/>
            <w:tcBorders>
              <w:bottom w:val="single" w:sz="4" w:space="0" w:color="000000"/>
            </w:tcBorders>
          </w:tcPr>
          <w:p>
            <w:pPr>
              <w:pStyle w:val="TableParagraph"/>
              <w:spacing w:before="33"/>
              <w:ind w:right="243"/>
              <w:jc w:val="right"/>
              <w:rPr>
                <w:b/>
                <w:i/>
                <w:sz w:val="20"/>
              </w:rPr>
            </w:pPr>
            <w:r>
              <w:rPr>
                <w:b/>
                <w:i/>
                <w:spacing w:val="-4"/>
                <w:sz w:val="20"/>
              </w:rPr>
              <w:t>12,0</w:t>
            </w:r>
          </w:p>
        </w:tc>
        <w:tc>
          <w:tcPr>
            <w:tcW w:w="910" w:type="dxa"/>
            <w:tcBorders>
              <w:bottom w:val="single" w:sz="4" w:space="0" w:color="000000"/>
            </w:tcBorders>
          </w:tcPr>
          <w:p>
            <w:pPr>
              <w:pStyle w:val="TableParagraph"/>
              <w:spacing w:before="33"/>
              <w:ind w:right="245"/>
              <w:jc w:val="right"/>
              <w:rPr>
                <w:b/>
                <w:i/>
                <w:sz w:val="20"/>
              </w:rPr>
            </w:pPr>
            <w:r>
              <w:rPr>
                <w:b/>
                <w:i/>
                <w:spacing w:val="-4"/>
                <w:sz w:val="20"/>
              </w:rPr>
              <w:t>12,4</w:t>
            </w:r>
          </w:p>
        </w:tc>
        <w:tc>
          <w:tcPr>
            <w:tcW w:w="912" w:type="dxa"/>
            <w:tcBorders>
              <w:bottom w:val="single" w:sz="4" w:space="0" w:color="000000"/>
            </w:tcBorders>
          </w:tcPr>
          <w:p>
            <w:pPr>
              <w:pStyle w:val="TableParagraph"/>
              <w:spacing w:before="33"/>
              <w:ind w:left="66" w:right="1"/>
              <w:jc w:val="center"/>
              <w:rPr>
                <w:b/>
                <w:i/>
                <w:sz w:val="20"/>
              </w:rPr>
            </w:pPr>
            <w:r>
              <w:rPr>
                <w:b/>
                <w:i/>
                <w:spacing w:val="-4"/>
                <w:sz w:val="20"/>
              </w:rPr>
              <w:t>12,9</w:t>
            </w:r>
          </w:p>
        </w:tc>
        <w:tc>
          <w:tcPr>
            <w:tcW w:w="772" w:type="dxa"/>
            <w:tcBorders>
              <w:bottom w:val="single" w:sz="4" w:space="0" w:color="000000"/>
              <w:right w:val="single" w:sz="4" w:space="0" w:color="000000"/>
            </w:tcBorders>
          </w:tcPr>
          <w:p>
            <w:pPr>
              <w:pStyle w:val="TableParagraph"/>
              <w:spacing w:before="33"/>
              <w:ind w:right="100"/>
              <w:jc w:val="right"/>
              <w:rPr>
                <w:b/>
                <w:i/>
                <w:sz w:val="20"/>
              </w:rPr>
            </w:pPr>
            <w:r>
              <w:rPr>
                <w:b/>
                <w:i/>
                <w:spacing w:val="-4"/>
                <w:sz w:val="20"/>
              </w:rPr>
              <w:t>13,4</w:t>
            </w:r>
          </w:p>
        </w:tc>
        <w:tc>
          <w:tcPr>
            <w:tcW w:w="1275" w:type="dxa"/>
            <w:tcBorders>
              <w:left w:val="single" w:sz="4" w:space="0" w:color="000000"/>
              <w:bottom w:val="single" w:sz="4" w:space="0" w:color="000000"/>
            </w:tcBorders>
          </w:tcPr>
          <w:p>
            <w:pPr>
              <w:pStyle w:val="TableParagraph"/>
              <w:rPr>
                <w:sz w:val="22"/>
              </w:rPr>
            </w:pPr>
          </w:p>
        </w:tc>
      </w:tr>
    </w:tbl>
    <w:p>
      <w:pPr>
        <w:spacing w:before="1"/>
        <w:ind w:left="360" w:right="0" w:firstLine="0"/>
        <w:jc w:val="both"/>
        <w:rPr>
          <w:i/>
          <w:sz w:val="20"/>
        </w:rPr>
      </w:pPr>
      <w:r>
        <w:rPr>
          <w:i/>
          <w:sz w:val="20"/>
        </w:rPr>
        <w:t>Извор:</w:t>
      </w:r>
      <w:r>
        <w:rPr>
          <w:i/>
          <w:spacing w:val="-6"/>
          <w:sz w:val="20"/>
        </w:rPr>
        <w:t> </w:t>
      </w:r>
      <w:r>
        <w:rPr>
          <w:i/>
          <w:sz w:val="20"/>
        </w:rPr>
        <w:t>АРС,</w:t>
      </w:r>
      <w:r>
        <w:rPr>
          <w:i/>
          <w:spacing w:val="-6"/>
          <w:sz w:val="20"/>
        </w:rPr>
        <w:t> </w:t>
      </w:r>
      <w:r>
        <w:rPr>
          <w:i/>
          <w:spacing w:val="-5"/>
          <w:sz w:val="20"/>
        </w:rPr>
        <w:t>РЗС</w:t>
      </w:r>
    </w:p>
    <w:p>
      <w:pPr>
        <w:pStyle w:val="BodyText"/>
        <w:spacing w:before="119"/>
        <w:ind w:right="716" w:firstLine="719"/>
      </w:pPr>
      <w:r>
        <w:rPr/>
        <w:t>Стопа неактивности младих износила је 53% у 2019. години и током посматраног периода (2015-2019. године) скоро да се није мењала. Овако висока стопа неактивности може</w:t>
      </w:r>
      <w:r>
        <w:rPr>
          <w:spacing w:val="-1"/>
        </w:rPr>
        <w:t> </w:t>
      </w:r>
      <w:r>
        <w:rPr/>
        <w:t>се у</w:t>
      </w:r>
      <w:r>
        <w:rPr>
          <w:spacing w:val="-8"/>
        </w:rPr>
        <w:t> </w:t>
      </w:r>
      <w:r>
        <w:rPr/>
        <w:t>одређеној мери објаснити</w:t>
      </w:r>
      <w:r>
        <w:rPr>
          <w:spacing w:val="-1"/>
        </w:rPr>
        <w:t> </w:t>
      </w:r>
      <w:r>
        <w:rPr/>
        <w:t>школовањем, јер</w:t>
      </w:r>
      <w:r>
        <w:rPr>
          <w:spacing w:val="-1"/>
        </w:rPr>
        <w:t> </w:t>
      </w:r>
      <w:r>
        <w:rPr/>
        <w:t>су</w:t>
      </w:r>
      <w:r>
        <w:rPr>
          <w:spacing w:val="-5"/>
        </w:rPr>
        <w:t> </w:t>
      </w:r>
      <w:r>
        <w:rPr/>
        <w:t>млади у</w:t>
      </w:r>
      <w:r>
        <w:rPr>
          <w:spacing w:val="-8"/>
        </w:rPr>
        <w:t> </w:t>
      </w:r>
      <w:r>
        <w:rPr/>
        <w:t>Србији, који</w:t>
      </w:r>
      <w:r>
        <w:rPr>
          <w:spacing w:val="-1"/>
        </w:rPr>
        <w:t> </w:t>
      </w:r>
      <w:r>
        <w:rPr/>
        <w:t>су</w:t>
      </w:r>
      <w:r>
        <w:rPr>
          <w:spacing w:val="-3"/>
        </w:rPr>
        <w:t> </w:t>
      </w:r>
      <w:r>
        <w:rPr/>
        <w:t>у</w:t>
      </w:r>
      <w:r>
        <w:rPr>
          <w:spacing w:val="-5"/>
        </w:rPr>
        <w:t> </w:t>
      </w:r>
      <w:r>
        <w:rPr/>
        <w:t>процесу образовања, мање присутни на тржишту рада у односу на њихове вршњаке из земаља ЕУ (ЕУ-28 – 43,4%).</w:t>
      </w:r>
    </w:p>
    <w:p>
      <w:pPr>
        <w:pStyle w:val="BodyText"/>
        <w:spacing w:before="144"/>
        <w:ind w:left="0"/>
        <w:jc w:val="left"/>
        <w:rPr>
          <w:sz w:val="20"/>
        </w:rPr>
      </w:pPr>
      <w:r>
        <w:rPr>
          <w:sz w:val="20"/>
        </w:rPr>
        <mc:AlternateContent>
          <mc:Choice Requires="wps">
            <w:drawing>
              <wp:anchor distT="0" distB="0" distL="0" distR="0" allowOverlap="1" layoutInCell="1" locked="0" behindDoc="1" simplePos="0" relativeHeight="487595520">
                <wp:simplePos x="0" y="0"/>
                <wp:positionH relativeFrom="page">
                  <wp:posOffset>914704</wp:posOffset>
                </wp:positionH>
                <wp:positionV relativeFrom="paragraph">
                  <wp:posOffset>252816</wp:posOffset>
                </wp:positionV>
                <wp:extent cx="1829435"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906816pt;width:144.020pt;height:.72003pt;mso-position-horizontal-relative:page;mso-position-vertical-relative:paragraph;z-index:-15720960;mso-wrap-distance-left:0;mso-wrap-distance-right:0" id="docshape18" filled="true" fillcolor="#000000" stroked="false">
                <v:fill type="solid"/>
                <w10:wrap type="topAndBottom"/>
              </v:rect>
            </w:pict>
          </mc:Fallback>
        </mc:AlternateContent>
      </w:r>
    </w:p>
    <w:p>
      <w:pPr>
        <w:spacing w:before="94"/>
        <w:ind w:left="360" w:right="0" w:firstLine="0"/>
        <w:jc w:val="left"/>
        <w:rPr>
          <w:sz w:val="18"/>
        </w:rPr>
      </w:pPr>
      <w:r>
        <w:rPr>
          <w:position w:val="6"/>
          <w:sz w:val="12"/>
        </w:rPr>
        <w:t>25</w:t>
      </w:r>
      <w:r>
        <w:rPr>
          <w:spacing w:val="12"/>
          <w:position w:val="6"/>
          <w:sz w:val="12"/>
        </w:rPr>
        <w:t> </w:t>
      </w:r>
      <w:r>
        <w:rPr>
          <w:sz w:val="18"/>
        </w:rPr>
        <w:t>Закон</w:t>
      </w:r>
      <w:r>
        <w:rPr>
          <w:spacing w:val="-3"/>
          <w:sz w:val="18"/>
        </w:rPr>
        <w:t> </w:t>
      </w:r>
      <w:r>
        <w:rPr>
          <w:sz w:val="18"/>
        </w:rPr>
        <w:t>о</w:t>
      </w:r>
      <w:r>
        <w:rPr>
          <w:spacing w:val="-1"/>
          <w:sz w:val="18"/>
        </w:rPr>
        <w:t> </w:t>
      </w:r>
      <w:r>
        <w:rPr>
          <w:sz w:val="18"/>
        </w:rPr>
        <w:t>младима</w:t>
      </w:r>
      <w:r>
        <w:rPr>
          <w:spacing w:val="-3"/>
          <w:sz w:val="18"/>
        </w:rPr>
        <w:t> </w:t>
      </w:r>
      <w:r>
        <w:rPr>
          <w:sz w:val="18"/>
        </w:rPr>
        <w:t>(„Службени</w:t>
      </w:r>
      <w:r>
        <w:rPr>
          <w:spacing w:val="-3"/>
          <w:sz w:val="18"/>
        </w:rPr>
        <w:t> </w:t>
      </w:r>
      <w:r>
        <w:rPr>
          <w:sz w:val="18"/>
        </w:rPr>
        <w:t>гласник</w:t>
      </w:r>
      <w:r>
        <w:rPr>
          <w:spacing w:val="-3"/>
          <w:sz w:val="18"/>
        </w:rPr>
        <w:t> </w:t>
      </w:r>
      <w:r>
        <w:rPr>
          <w:sz w:val="18"/>
        </w:rPr>
        <w:t>РСˮ,</w:t>
      </w:r>
      <w:r>
        <w:rPr>
          <w:spacing w:val="1"/>
          <w:sz w:val="18"/>
        </w:rPr>
        <w:t> </w:t>
      </w:r>
      <w:r>
        <w:rPr>
          <w:sz w:val="18"/>
        </w:rPr>
        <w:t>број</w:t>
      </w:r>
      <w:r>
        <w:rPr>
          <w:spacing w:val="-4"/>
          <w:sz w:val="18"/>
        </w:rPr>
        <w:t> </w:t>
      </w:r>
      <w:r>
        <w:rPr>
          <w:spacing w:val="-2"/>
          <w:sz w:val="18"/>
        </w:rPr>
        <w:t>50/11)</w:t>
      </w:r>
    </w:p>
    <w:p>
      <w:pPr>
        <w:spacing w:after="0"/>
        <w:jc w:val="left"/>
        <w:rPr>
          <w:sz w:val="18"/>
        </w:rPr>
        <w:sectPr>
          <w:pgSz w:w="12240" w:h="15840"/>
          <w:pgMar w:header="0" w:footer="702" w:top="1360" w:bottom="900" w:left="1080" w:right="720"/>
        </w:sectPr>
      </w:pPr>
    </w:p>
    <w:p>
      <w:pPr>
        <w:pStyle w:val="BodyText"/>
        <w:spacing w:before="72"/>
        <w:ind w:right="721" w:firstLine="719"/>
      </w:pPr>
      <w:r>
        <w:rPr/>
        <w:t>Учешће младих у радној снази у Србији веома је ниско по европским стандардима. Стопа </w:t>
      </w:r>
      <w:r>
        <w:rPr>
          <w:i/>
        </w:rPr>
        <w:t>NEET </w:t>
      </w:r>
      <w:r>
        <w:rPr/>
        <w:t>(млади који нису запослени, нису у процесу образовања нити су на обуци) износила је 18,9% у 2019. години и смањила се за 5,6 п.п. у односу на 2015. годину. Ово смањење указује да су млади у Србији или лакше пронашли посао или дуже остали у образовању током посматраног периода.</w:t>
      </w:r>
    </w:p>
    <w:p>
      <w:pPr>
        <w:pStyle w:val="BodyText"/>
        <w:spacing w:before="120"/>
        <w:ind w:right="713" w:firstLine="719"/>
      </w:pPr>
      <w:r>
        <w:rPr/>
        <w:t>Транзиција</w:t>
      </w:r>
      <w:r>
        <w:rPr>
          <w:spacing w:val="-8"/>
        </w:rPr>
        <w:t> </w:t>
      </w:r>
      <w:r>
        <w:rPr/>
        <w:t>од</w:t>
      </w:r>
      <w:r>
        <w:rPr>
          <w:spacing w:val="-7"/>
        </w:rPr>
        <w:t> </w:t>
      </w:r>
      <w:r>
        <w:rPr/>
        <w:t>школе</w:t>
      </w:r>
      <w:r>
        <w:rPr>
          <w:spacing w:val="-8"/>
        </w:rPr>
        <w:t> </w:t>
      </w:r>
      <w:r>
        <w:rPr/>
        <w:t>до</w:t>
      </w:r>
      <w:r>
        <w:rPr>
          <w:spacing w:val="-8"/>
        </w:rPr>
        <w:t> </w:t>
      </w:r>
      <w:r>
        <w:rPr/>
        <w:t>посла</w:t>
      </w:r>
      <w:r>
        <w:rPr>
          <w:spacing w:val="-6"/>
        </w:rPr>
        <w:t> </w:t>
      </w:r>
      <w:r>
        <w:rPr/>
        <w:t>у</w:t>
      </w:r>
      <w:r>
        <w:rPr>
          <w:spacing w:val="-12"/>
        </w:rPr>
        <w:t> </w:t>
      </w:r>
      <w:r>
        <w:rPr/>
        <w:t>Србији</w:t>
      </w:r>
      <w:r>
        <w:rPr>
          <w:spacing w:val="-6"/>
        </w:rPr>
        <w:t> </w:t>
      </w:r>
      <w:r>
        <w:rPr/>
        <w:t>траје</w:t>
      </w:r>
      <w:r>
        <w:rPr>
          <w:spacing w:val="-8"/>
        </w:rPr>
        <w:t> </w:t>
      </w:r>
      <w:r>
        <w:rPr/>
        <w:t>веома</w:t>
      </w:r>
      <w:r>
        <w:rPr>
          <w:spacing w:val="-8"/>
        </w:rPr>
        <w:t> </w:t>
      </w:r>
      <w:r>
        <w:rPr/>
        <w:t>дуго,</w:t>
      </w:r>
      <w:r>
        <w:rPr>
          <w:spacing w:val="-7"/>
        </w:rPr>
        <w:t> </w:t>
      </w:r>
      <w:r>
        <w:rPr/>
        <w:t>више</w:t>
      </w:r>
      <w:r>
        <w:rPr>
          <w:spacing w:val="-8"/>
        </w:rPr>
        <w:t> </w:t>
      </w:r>
      <w:r>
        <w:rPr/>
        <w:t>од</w:t>
      </w:r>
      <w:r>
        <w:rPr>
          <w:spacing w:val="-7"/>
        </w:rPr>
        <w:t> </w:t>
      </w:r>
      <w:r>
        <w:rPr/>
        <w:t>две</w:t>
      </w:r>
      <w:r>
        <w:rPr>
          <w:spacing w:val="-8"/>
        </w:rPr>
        <w:t> </w:t>
      </w:r>
      <w:r>
        <w:rPr/>
        <w:t>године</w:t>
      </w:r>
      <w:r>
        <w:rPr>
          <w:vertAlign w:val="superscript"/>
        </w:rPr>
        <w:t>26</w:t>
      </w:r>
      <w:r>
        <w:rPr>
          <w:vertAlign w:val="baseline"/>
        </w:rPr>
        <w:t>.</w:t>
      </w:r>
      <w:r>
        <w:rPr>
          <w:spacing w:val="-7"/>
          <w:vertAlign w:val="baseline"/>
        </w:rPr>
        <w:t> </w:t>
      </w:r>
      <w:r>
        <w:rPr>
          <w:vertAlign w:val="baseline"/>
        </w:rPr>
        <w:t>То</w:t>
      </w:r>
      <w:r>
        <w:rPr>
          <w:spacing w:val="-8"/>
          <w:vertAlign w:val="baseline"/>
        </w:rPr>
        <w:t> </w:t>
      </w:r>
      <w:r>
        <w:rPr>
          <w:vertAlign w:val="baseline"/>
        </w:rPr>
        <w:t>је много</w:t>
      </w:r>
      <w:r>
        <w:rPr>
          <w:spacing w:val="-10"/>
          <w:vertAlign w:val="baseline"/>
        </w:rPr>
        <w:t> </w:t>
      </w:r>
      <w:r>
        <w:rPr>
          <w:vertAlign w:val="baseline"/>
        </w:rPr>
        <w:t>дуже</w:t>
      </w:r>
      <w:r>
        <w:rPr>
          <w:spacing w:val="-11"/>
          <w:vertAlign w:val="baseline"/>
        </w:rPr>
        <w:t> </w:t>
      </w:r>
      <w:r>
        <w:rPr>
          <w:vertAlign w:val="baseline"/>
        </w:rPr>
        <w:t>од</w:t>
      </w:r>
      <w:r>
        <w:rPr>
          <w:spacing w:val="-9"/>
          <w:vertAlign w:val="baseline"/>
        </w:rPr>
        <w:t> </w:t>
      </w:r>
      <w:r>
        <w:rPr>
          <w:vertAlign w:val="baseline"/>
        </w:rPr>
        <w:t>6,5</w:t>
      </w:r>
      <w:r>
        <w:rPr>
          <w:spacing w:val="-10"/>
          <w:vertAlign w:val="baseline"/>
        </w:rPr>
        <w:t> </w:t>
      </w:r>
      <w:r>
        <w:rPr>
          <w:vertAlign w:val="baseline"/>
        </w:rPr>
        <w:t>месеци,</w:t>
      </w:r>
      <w:r>
        <w:rPr>
          <w:spacing w:val="-10"/>
          <w:vertAlign w:val="baseline"/>
        </w:rPr>
        <w:t> </w:t>
      </w:r>
      <w:r>
        <w:rPr>
          <w:vertAlign w:val="baseline"/>
        </w:rPr>
        <w:t>што</w:t>
      </w:r>
      <w:r>
        <w:rPr>
          <w:spacing w:val="-11"/>
          <w:vertAlign w:val="baseline"/>
        </w:rPr>
        <w:t> </w:t>
      </w:r>
      <w:r>
        <w:rPr>
          <w:vertAlign w:val="baseline"/>
        </w:rPr>
        <w:t>је</w:t>
      </w:r>
      <w:r>
        <w:rPr>
          <w:spacing w:val="-10"/>
          <w:vertAlign w:val="baseline"/>
        </w:rPr>
        <w:t> </w:t>
      </w:r>
      <w:r>
        <w:rPr>
          <w:vertAlign w:val="baseline"/>
        </w:rPr>
        <w:t>просечно</w:t>
      </w:r>
      <w:r>
        <w:rPr>
          <w:spacing w:val="-10"/>
          <w:vertAlign w:val="baseline"/>
        </w:rPr>
        <w:t> </w:t>
      </w:r>
      <w:r>
        <w:rPr>
          <w:vertAlign w:val="baseline"/>
        </w:rPr>
        <w:t>време</w:t>
      </w:r>
      <w:r>
        <w:rPr>
          <w:spacing w:val="-11"/>
          <w:vertAlign w:val="baseline"/>
        </w:rPr>
        <w:t> </w:t>
      </w:r>
      <w:r>
        <w:rPr>
          <w:vertAlign w:val="baseline"/>
        </w:rPr>
        <w:t>за</w:t>
      </w:r>
      <w:r>
        <w:rPr>
          <w:spacing w:val="-11"/>
          <w:vertAlign w:val="baseline"/>
        </w:rPr>
        <w:t> </w:t>
      </w:r>
      <w:r>
        <w:rPr>
          <w:vertAlign w:val="baseline"/>
        </w:rPr>
        <w:t>које</w:t>
      </w:r>
      <w:r>
        <w:rPr>
          <w:spacing w:val="-10"/>
          <w:vertAlign w:val="baseline"/>
        </w:rPr>
        <w:t> </w:t>
      </w:r>
      <w:r>
        <w:rPr>
          <w:vertAlign w:val="baseline"/>
        </w:rPr>
        <w:t>млада</w:t>
      </w:r>
      <w:r>
        <w:rPr>
          <w:spacing w:val="-10"/>
          <w:vertAlign w:val="baseline"/>
        </w:rPr>
        <w:t> </w:t>
      </w:r>
      <w:r>
        <w:rPr>
          <w:vertAlign w:val="baseline"/>
        </w:rPr>
        <w:t>особа</w:t>
      </w:r>
      <w:r>
        <w:rPr>
          <w:spacing w:val="-11"/>
          <w:vertAlign w:val="baseline"/>
        </w:rPr>
        <w:t> </w:t>
      </w:r>
      <w:r>
        <w:rPr>
          <w:vertAlign w:val="baseline"/>
        </w:rPr>
        <w:t>нађе</w:t>
      </w:r>
      <w:r>
        <w:rPr>
          <w:spacing w:val="-11"/>
          <w:vertAlign w:val="baseline"/>
        </w:rPr>
        <w:t> </w:t>
      </w:r>
      <w:r>
        <w:rPr>
          <w:vertAlign w:val="baseline"/>
        </w:rPr>
        <w:t>први</w:t>
      </w:r>
      <w:r>
        <w:rPr>
          <w:spacing w:val="-9"/>
          <w:vertAlign w:val="baseline"/>
        </w:rPr>
        <w:t> </w:t>
      </w:r>
      <w:r>
        <w:rPr>
          <w:vertAlign w:val="baseline"/>
        </w:rPr>
        <w:t>посао</w:t>
      </w:r>
      <w:r>
        <w:rPr>
          <w:spacing w:val="-10"/>
          <w:vertAlign w:val="baseline"/>
        </w:rPr>
        <w:t> </w:t>
      </w:r>
      <w:r>
        <w:rPr>
          <w:vertAlign w:val="baseline"/>
        </w:rPr>
        <w:t>након завршетка образовања у ЕУ. За прво тражење посла младима у руралним срединама потребно је више времена. Поседовање факултетске дипломе ће преполовити тражење посла, док је младима са најнижим нивоом образовања потребно 19,4 месеца дуже од ове просечне две године да пронађу</w:t>
      </w:r>
      <w:r>
        <w:rPr>
          <w:spacing w:val="-4"/>
          <w:vertAlign w:val="baseline"/>
        </w:rPr>
        <w:t> </w:t>
      </w:r>
      <w:r>
        <w:rPr>
          <w:vertAlign w:val="baseline"/>
        </w:rPr>
        <w:t>први посао. Ово је важно имати на уму</w:t>
      </w:r>
      <w:r>
        <w:rPr>
          <w:spacing w:val="-2"/>
          <w:vertAlign w:val="baseline"/>
        </w:rPr>
        <w:t> </w:t>
      </w:r>
      <w:r>
        <w:rPr>
          <w:vertAlign w:val="baseline"/>
        </w:rPr>
        <w:t>с обзиром на то да се неки програми за младе фокусирају на особе са високим образовањем за које је стопа незапослености највиша, али је по природи само привремена. Дуже трајање транзиције у запосленост утиче на године старости када млади појединци напуштају родитељски дом и започињу живот сами или са партнером. У моменту када започињу самостални живот у Србији, они су у просеку шест година старији од својих вршњака у ЕУ.</w:t>
      </w:r>
    </w:p>
    <w:p>
      <w:pPr>
        <w:pStyle w:val="BodyText"/>
        <w:spacing w:before="121"/>
        <w:ind w:right="719" w:firstLine="719"/>
      </w:pPr>
      <w:r>
        <w:rPr/>
        <w:t>Један од највећих изазова за младе у Србији који желе да се осамостале јесте како пронаћи</w:t>
      </w:r>
      <w:r>
        <w:rPr>
          <w:spacing w:val="-8"/>
        </w:rPr>
        <w:t> </w:t>
      </w:r>
      <w:r>
        <w:rPr/>
        <w:t>и</w:t>
      </w:r>
      <w:r>
        <w:rPr>
          <w:spacing w:val="-8"/>
        </w:rPr>
        <w:t> </w:t>
      </w:r>
      <w:r>
        <w:rPr/>
        <w:t>задржати</w:t>
      </w:r>
      <w:r>
        <w:rPr>
          <w:spacing w:val="-5"/>
        </w:rPr>
        <w:t> </w:t>
      </w:r>
      <w:r>
        <w:rPr/>
        <w:t>стабилан</w:t>
      </w:r>
      <w:r>
        <w:rPr>
          <w:spacing w:val="-8"/>
        </w:rPr>
        <w:t> </w:t>
      </w:r>
      <w:r>
        <w:rPr/>
        <w:t>посао.</w:t>
      </w:r>
      <w:r>
        <w:rPr>
          <w:spacing w:val="-7"/>
        </w:rPr>
        <w:t> </w:t>
      </w:r>
      <w:r>
        <w:rPr/>
        <w:t>Стопа</w:t>
      </w:r>
      <w:r>
        <w:rPr>
          <w:spacing w:val="-10"/>
        </w:rPr>
        <w:t> </w:t>
      </w:r>
      <w:r>
        <w:rPr/>
        <w:t>запослености</w:t>
      </w:r>
      <w:r>
        <w:rPr>
          <w:spacing w:val="-1"/>
        </w:rPr>
        <w:t> </w:t>
      </w:r>
      <w:r>
        <w:rPr/>
        <w:t>младих</w:t>
      </w:r>
      <w:r>
        <w:rPr>
          <w:spacing w:val="-5"/>
        </w:rPr>
        <w:t> </w:t>
      </w:r>
      <w:r>
        <w:rPr/>
        <w:t>износила</w:t>
      </w:r>
      <w:r>
        <w:rPr>
          <w:spacing w:val="-8"/>
        </w:rPr>
        <w:t> </w:t>
      </w:r>
      <w:r>
        <w:rPr/>
        <w:t>је</w:t>
      </w:r>
      <w:r>
        <w:rPr>
          <w:spacing w:val="-7"/>
        </w:rPr>
        <w:t> </w:t>
      </w:r>
      <w:r>
        <w:rPr/>
        <w:t>36,9%,</w:t>
      </w:r>
      <w:r>
        <w:rPr>
          <w:spacing w:val="-4"/>
        </w:rPr>
        <w:t> </w:t>
      </w:r>
      <w:r>
        <w:rPr/>
        <w:t>у</w:t>
      </w:r>
      <w:r>
        <w:rPr>
          <w:spacing w:val="-14"/>
        </w:rPr>
        <w:t> </w:t>
      </w:r>
      <w:r>
        <w:rPr/>
        <w:t>2019. години што је повећање од 6,7 п.п. у односу на 2015. годину (30,2%).</w:t>
      </w:r>
    </w:p>
    <w:p>
      <w:pPr>
        <w:pStyle w:val="BodyText"/>
        <w:spacing w:before="120"/>
        <w:ind w:right="716" w:firstLine="719"/>
      </w:pPr>
      <w:r>
        <w:rPr/>
        <w:t>Стопа незапослености младих значајно се смањила, са 34,5% колико је износила у 2015. години на 21,5% у 2019. години – смањење од 13 п.п., што је знатно више него за целокупно</w:t>
      </w:r>
      <w:r>
        <w:rPr>
          <w:spacing w:val="-3"/>
        </w:rPr>
        <w:t> </w:t>
      </w:r>
      <w:r>
        <w:rPr/>
        <w:t>радно</w:t>
      </w:r>
      <w:r>
        <w:rPr>
          <w:spacing w:val="-3"/>
        </w:rPr>
        <w:t> </w:t>
      </w:r>
      <w:r>
        <w:rPr/>
        <w:t>способно</w:t>
      </w:r>
      <w:r>
        <w:rPr>
          <w:spacing w:val="-3"/>
        </w:rPr>
        <w:t> </w:t>
      </w:r>
      <w:r>
        <w:rPr/>
        <w:t>становништво</w:t>
      </w:r>
      <w:r>
        <w:rPr>
          <w:spacing w:val="-3"/>
        </w:rPr>
        <w:t> </w:t>
      </w:r>
      <w:r>
        <w:rPr/>
        <w:t>(7,3</w:t>
      </w:r>
      <w:r>
        <w:rPr>
          <w:spacing w:val="-5"/>
        </w:rPr>
        <w:t> </w:t>
      </w:r>
      <w:r>
        <w:rPr/>
        <w:t>п.п.). Пад</w:t>
      </w:r>
      <w:r>
        <w:rPr>
          <w:spacing w:val="-3"/>
        </w:rPr>
        <w:t> </w:t>
      </w:r>
      <w:r>
        <w:rPr/>
        <w:t>стопе</w:t>
      </w:r>
      <w:r>
        <w:rPr>
          <w:spacing w:val="-5"/>
        </w:rPr>
        <w:t> </w:t>
      </w:r>
      <w:r>
        <w:rPr/>
        <w:t>незапослености</w:t>
      </w:r>
      <w:r>
        <w:rPr>
          <w:spacing w:val="-2"/>
        </w:rPr>
        <w:t> </w:t>
      </w:r>
      <w:r>
        <w:rPr/>
        <w:t>младих</w:t>
      </w:r>
      <w:r>
        <w:rPr>
          <w:spacing w:val="-3"/>
        </w:rPr>
        <w:t> </w:t>
      </w:r>
      <w:r>
        <w:rPr/>
        <w:t>није само последица повећања броја запослених, већ и сталне емиграције ове категорије </w:t>
      </w:r>
      <w:r>
        <w:rPr>
          <w:spacing w:val="-2"/>
        </w:rPr>
        <w:t>становништва.</w:t>
      </w:r>
    </w:p>
    <w:p>
      <w:pPr>
        <w:pStyle w:val="BodyText"/>
        <w:spacing w:before="121"/>
        <w:ind w:right="715" w:firstLine="719"/>
      </w:pPr>
      <w:r>
        <w:rPr/>
        <w:t>Међу</w:t>
      </w:r>
      <w:r>
        <w:rPr>
          <w:spacing w:val="-3"/>
        </w:rPr>
        <w:t> </w:t>
      </w:r>
      <w:r>
        <w:rPr/>
        <w:t>младима у Србији распрострањена је жеља да оду</w:t>
      </w:r>
      <w:r>
        <w:rPr>
          <w:spacing w:val="-3"/>
        </w:rPr>
        <w:t> </w:t>
      </w:r>
      <w:r>
        <w:rPr/>
        <w:t>из земље, у</w:t>
      </w:r>
      <w:r>
        <w:rPr>
          <w:spacing w:val="-3"/>
        </w:rPr>
        <w:t> </w:t>
      </w:r>
      <w:r>
        <w:rPr/>
        <w:t>чему</w:t>
      </w:r>
      <w:r>
        <w:rPr>
          <w:spacing w:val="-3"/>
        </w:rPr>
        <w:t> </w:t>
      </w:r>
      <w:r>
        <w:rPr/>
        <w:t>предњаче у</w:t>
      </w:r>
      <w:r>
        <w:rPr>
          <w:spacing w:val="-10"/>
        </w:rPr>
        <w:t> </w:t>
      </w:r>
      <w:r>
        <w:rPr/>
        <w:t>односу</w:t>
      </w:r>
      <w:r>
        <w:rPr>
          <w:spacing w:val="-12"/>
        </w:rPr>
        <w:t> </w:t>
      </w:r>
      <w:r>
        <w:rPr/>
        <w:t>на</w:t>
      </w:r>
      <w:r>
        <w:rPr>
          <w:spacing w:val="-9"/>
        </w:rPr>
        <w:t> </w:t>
      </w:r>
      <w:r>
        <w:rPr/>
        <w:t>младе</w:t>
      </w:r>
      <w:r>
        <w:rPr>
          <w:spacing w:val="-9"/>
        </w:rPr>
        <w:t> </w:t>
      </w:r>
      <w:r>
        <w:rPr/>
        <w:t>из</w:t>
      </w:r>
      <w:r>
        <w:rPr>
          <w:spacing w:val="-7"/>
        </w:rPr>
        <w:t> </w:t>
      </w:r>
      <w:r>
        <w:rPr/>
        <w:t>суседних</w:t>
      </w:r>
      <w:r>
        <w:rPr>
          <w:spacing w:val="-8"/>
        </w:rPr>
        <w:t> </w:t>
      </w:r>
      <w:r>
        <w:rPr/>
        <w:t>земаља,</w:t>
      </w:r>
      <w:r>
        <w:rPr>
          <w:spacing w:val="-8"/>
        </w:rPr>
        <w:t> </w:t>
      </w:r>
      <w:r>
        <w:rPr/>
        <w:t>како</w:t>
      </w:r>
      <w:r>
        <w:rPr>
          <w:spacing w:val="-10"/>
        </w:rPr>
        <w:t> </w:t>
      </w:r>
      <w:r>
        <w:rPr/>
        <w:t>је</w:t>
      </w:r>
      <w:r>
        <w:rPr>
          <w:spacing w:val="-10"/>
        </w:rPr>
        <w:t> </w:t>
      </w:r>
      <w:r>
        <w:rPr/>
        <w:t>показало</w:t>
      </w:r>
      <w:r>
        <w:rPr>
          <w:spacing w:val="-10"/>
        </w:rPr>
        <w:t> </w:t>
      </w:r>
      <w:r>
        <w:rPr/>
        <w:t>недавно</w:t>
      </w:r>
      <w:r>
        <w:rPr>
          <w:spacing w:val="-8"/>
        </w:rPr>
        <w:t> </w:t>
      </w:r>
      <w:r>
        <w:rPr/>
        <w:t>регионално</w:t>
      </w:r>
      <w:r>
        <w:rPr>
          <w:spacing w:val="-10"/>
        </w:rPr>
        <w:t> </w:t>
      </w:r>
      <w:r>
        <w:rPr/>
        <w:t>истраживање</w:t>
      </w:r>
      <w:r>
        <w:rPr>
          <w:vertAlign w:val="superscript"/>
        </w:rPr>
        <w:t>27</w:t>
      </w:r>
      <w:r>
        <w:rPr>
          <w:vertAlign w:val="baseline"/>
        </w:rPr>
        <w:t> о младима у десет држава Југоисточне Европе</w:t>
      </w:r>
      <w:r>
        <w:rPr>
          <w:vertAlign w:val="superscript"/>
        </w:rPr>
        <w:t>28</w:t>
      </w:r>
      <w:r>
        <w:rPr>
          <w:vertAlign w:val="baseline"/>
        </w:rPr>
        <w:t>. Подаци за Србију показују да скоро 75% младих</w:t>
      </w:r>
      <w:r>
        <w:rPr>
          <w:spacing w:val="-11"/>
          <w:vertAlign w:val="baseline"/>
        </w:rPr>
        <w:t> </w:t>
      </w:r>
      <w:r>
        <w:rPr>
          <w:vertAlign w:val="baseline"/>
        </w:rPr>
        <w:t>(15-29</w:t>
      </w:r>
      <w:r>
        <w:rPr>
          <w:spacing w:val="-13"/>
          <w:vertAlign w:val="baseline"/>
        </w:rPr>
        <w:t> </w:t>
      </w:r>
      <w:r>
        <w:rPr>
          <w:vertAlign w:val="baseline"/>
        </w:rPr>
        <w:t>година)</w:t>
      </w:r>
      <w:r>
        <w:rPr>
          <w:spacing w:val="-14"/>
          <w:vertAlign w:val="baseline"/>
        </w:rPr>
        <w:t> </w:t>
      </w:r>
      <w:r>
        <w:rPr>
          <w:vertAlign w:val="baseline"/>
        </w:rPr>
        <w:t>жели</w:t>
      </w:r>
      <w:r>
        <w:rPr>
          <w:spacing w:val="-12"/>
          <w:vertAlign w:val="baseline"/>
        </w:rPr>
        <w:t> </w:t>
      </w:r>
      <w:r>
        <w:rPr>
          <w:vertAlign w:val="baseline"/>
        </w:rPr>
        <w:t>или</w:t>
      </w:r>
      <w:r>
        <w:rPr>
          <w:spacing w:val="-12"/>
          <w:vertAlign w:val="baseline"/>
        </w:rPr>
        <w:t> </w:t>
      </w:r>
      <w:r>
        <w:rPr>
          <w:vertAlign w:val="baseline"/>
        </w:rPr>
        <w:t>намерава</w:t>
      </w:r>
      <w:r>
        <w:rPr>
          <w:spacing w:val="-14"/>
          <w:vertAlign w:val="baseline"/>
        </w:rPr>
        <w:t> </w:t>
      </w:r>
      <w:r>
        <w:rPr>
          <w:vertAlign w:val="baseline"/>
        </w:rPr>
        <w:t>да</w:t>
      </w:r>
      <w:r>
        <w:rPr>
          <w:spacing w:val="-14"/>
          <w:vertAlign w:val="baseline"/>
        </w:rPr>
        <w:t> </w:t>
      </w:r>
      <w:r>
        <w:rPr>
          <w:vertAlign w:val="baseline"/>
        </w:rPr>
        <w:t>се</w:t>
      </w:r>
      <w:r>
        <w:rPr>
          <w:spacing w:val="-14"/>
          <w:vertAlign w:val="baseline"/>
        </w:rPr>
        <w:t> </w:t>
      </w:r>
      <w:r>
        <w:rPr>
          <w:vertAlign w:val="baseline"/>
        </w:rPr>
        <w:t>исели.</w:t>
      </w:r>
      <w:r>
        <w:rPr>
          <w:spacing w:val="-13"/>
          <w:vertAlign w:val="baseline"/>
        </w:rPr>
        <w:t> </w:t>
      </w:r>
      <w:r>
        <w:rPr>
          <w:vertAlign w:val="baseline"/>
        </w:rPr>
        <w:t>За</w:t>
      </w:r>
      <w:r>
        <w:rPr>
          <w:spacing w:val="-14"/>
          <w:vertAlign w:val="baseline"/>
        </w:rPr>
        <w:t> </w:t>
      </w:r>
      <w:r>
        <w:rPr>
          <w:vertAlign w:val="baseline"/>
        </w:rPr>
        <w:t>око</w:t>
      </w:r>
      <w:r>
        <w:rPr>
          <w:spacing w:val="-13"/>
          <w:vertAlign w:val="baseline"/>
        </w:rPr>
        <w:t> </w:t>
      </w:r>
      <w:r>
        <w:rPr>
          <w:vertAlign w:val="baseline"/>
        </w:rPr>
        <w:t>20%</w:t>
      </w:r>
      <w:r>
        <w:rPr>
          <w:spacing w:val="-14"/>
          <w:vertAlign w:val="baseline"/>
        </w:rPr>
        <w:t> </w:t>
      </w:r>
      <w:r>
        <w:rPr>
          <w:vertAlign w:val="baseline"/>
        </w:rPr>
        <w:t>њих</w:t>
      </w:r>
      <w:r>
        <w:rPr>
          <w:spacing w:val="-7"/>
          <w:vertAlign w:val="baseline"/>
        </w:rPr>
        <w:t> </w:t>
      </w:r>
      <w:r>
        <w:rPr>
          <w:vertAlign w:val="baseline"/>
        </w:rPr>
        <w:t>најпожељнија</w:t>
      </w:r>
      <w:r>
        <w:rPr>
          <w:spacing w:val="-14"/>
          <w:vertAlign w:val="baseline"/>
        </w:rPr>
        <w:t> </w:t>
      </w:r>
      <w:r>
        <w:rPr>
          <w:vertAlign w:val="baseline"/>
        </w:rPr>
        <w:t>опција је</w:t>
      </w:r>
      <w:r>
        <w:rPr>
          <w:spacing w:val="-8"/>
          <w:vertAlign w:val="baseline"/>
        </w:rPr>
        <w:t> </w:t>
      </w:r>
      <w:r>
        <w:rPr>
          <w:vertAlign w:val="baseline"/>
        </w:rPr>
        <w:t>краткорочна</w:t>
      </w:r>
      <w:r>
        <w:rPr>
          <w:spacing w:val="-8"/>
          <w:vertAlign w:val="baseline"/>
        </w:rPr>
        <w:t> </w:t>
      </w:r>
      <w:r>
        <w:rPr>
          <w:vertAlign w:val="baseline"/>
        </w:rPr>
        <w:t>миграција</w:t>
      </w:r>
      <w:r>
        <w:rPr>
          <w:spacing w:val="-8"/>
          <w:vertAlign w:val="baseline"/>
        </w:rPr>
        <w:t> </w:t>
      </w:r>
      <w:r>
        <w:rPr>
          <w:vertAlign w:val="baseline"/>
        </w:rPr>
        <w:t>(на</w:t>
      </w:r>
      <w:r>
        <w:rPr>
          <w:spacing w:val="-8"/>
          <w:vertAlign w:val="baseline"/>
        </w:rPr>
        <w:t> </w:t>
      </w:r>
      <w:r>
        <w:rPr>
          <w:vertAlign w:val="baseline"/>
        </w:rPr>
        <w:t>годину</w:t>
      </w:r>
      <w:r>
        <w:rPr>
          <w:spacing w:val="-14"/>
          <w:vertAlign w:val="baseline"/>
        </w:rPr>
        <w:t> </w:t>
      </w:r>
      <w:r>
        <w:rPr>
          <w:vertAlign w:val="baseline"/>
        </w:rPr>
        <w:t>или</w:t>
      </w:r>
      <w:r>
        <w:rPr>
          <w:spacing w:val="-6"/>
          <w:vertAlign w:val="baseline"/>
        </w:rPr>
        <w:t> </w:t>
      </w:r>
      <w:r>
        <w:rPr>
          <w:vertAlign w:val="baseline"/>
        </w:rPr>
        <w:t>две),</w:t>
      </w:r>
      <w:r>
        <w:rPr>
          <w:spacing w:val="-6"/>
          <w:vertAlign w:val="baseline"/>
        </w:rPr>
        <w:t> </w:t>
      </w:r>
      <w:r>
        <w:rPr>
          <w:vertAlign w:val="baseline"/>
        </w:rPr>
        <w:t>док</w:t>
      </w:r>
      <w:r>
        <w:rPr>
          <w:spacing w:val="-6"/>
          <w:vertAlign w:val="baseline"/>
        </w:rPr>
        <w:t> </w:t>
      </w:r>
      <w:r>
        <w:rPr>
          <w:vertAlign w:val="baseline"/>
        </w:rPr>
        <w:t>исто</w:t>
      </w:r>
      <w:r>
        <w:rPr>
          <w:spacing w:val="-7"/>
          <w:vertAlign w:val="baseline"/>
        </w:rPr>
        <w:t> </w:t>
      </w:r>
      <w:r>
        <w:rPr>
          <w:vertAlign w:val="baseline"/>
        </w:rPr>
        <w:t>толико</w:t>
      </w:r>
      <w:r>
        <w:rPr>
          <w:spacing w:val="-7"/>
          <w:vertAlign w:val="baseline"/>
        </w:rPr>
        <w:t> </w:t>
      </w:r>
      <w:r>
        <w:rPr>
          <w:vertAlign w:val="baseline"/>
        </w:rPr>
        <w:t>младих</w:t>
      </w:r>
      <w:r>
        <w:rPr>
          <w:spacing w:val="-7"/>
          <w:vertAlign w:val="baseline"/>
        </w:rPr>
        <w:t> </w:t>
      </w:r>
      <w:r>
        <w:rPr>
          <w:vertAlign w:val="baseline"/>
        </w:rPr>
        <w:t>размишља</w:t>
      </w:r>
      <w:r>
        <w:rPr>
          <w:spacing w:val="-8"/>
          <w:vertAlign w:val="baseline"/>
        </w:rPr>
        <w:t> </w:t>
      </w:r>
      <w:r>
        <w:rPr>
          <w:vertAlign w:val="baseline"/>
        </w:rPr>
        <w:t>о</w:t>
      </w:r>
      <w:r>
        <w:rPr>
          <w:spacing w:val="-7"/>
          <w:vertAlign w:val="baseline"/>
        </w:rPr>
        <w:t> </w:t>
      </w:r>
      <w:r>
        <w:rPr>
          <w:vertAlign w:val="baseline"/>
        </w:rPr>
        <w:t>трајном исељењу из земље. Као разлоге за емиграцију млади наводе жељу за бољим животним стандардом, као и веће могућности за образовање.</w:t>
      </w:r>
    </w:p>
    <w:p>
      <w:pPr>
        <w:pStyle w:val="BodyText"/>
        <w:spacing w:before="120"/>
        <w:ind w:right="712" w:firstLine="719"/>
      </w:pPr>
      <w:r>
        <w:rPr/>
        <w:t>Младе жене (15-29) у Србији представљају вишеструко рањиву категорију на тржишту рада, о чему говоре и вредности основних показатеља тржишта рада. Стопа незапослености младих жена износила је 37,4% у 2015. години (виша за 5 п.п. од стопе незапослености</w:t>
      </w:r>
      <w:r>
        <w:rPr>
          <w:spacing w:val="-1"/>
        </w:rPr>
        <w:t> </w:t>
      </w:r>
      <w:r>
        <w:rPr/>
        <w:t>младих</w:t>
      </w:r>
      <w:r>
        <w:rPr>
          <w:spacing w:val="-2"/>
        </w:rPr>
        <w:t> </w:t>
      </w:r>
      <w:r>
        <w:rPr/>
        <w:t>мушкараца). Међутим, у</w:t>
      </w:r>
      <w:r>
        <w:rPr>
          <w:spacing w:val="-9"/>
        </w:rPr>
        <w:t> </w:t>
      </w:r>
      <w:r>
        <w:rPr/>
        <w:t>периоду</w:t>
      </w:r>
      <w:r>
        <w:rPr>
          <w:spacing w:val="-6"/>
        </w:rPr>
        <w:t> </w:t>
      </w:r>
      <w:r>
        <w:rPr/>
        <w:t>2015-2019.</w:t>
      </w:r>
      <w:r>
        <w:rPr>
          <w:spacing w:val="-2"/>
        </w:rPr>
        <w:t> </w:t>
      </w:r>
      <w:r>
        <w:rPr/>
        <w:t>године</w:t>
      </w:r>
      <w:r>
        <w:rPr>
          <w:spacing w:val="-2"/>
        </w:rPr>
        <w:t> </w:t>
      </w:r>
      <w:r>
        <w:rPr/>
        <w:t>младе</w:t>
      </w:r>
      <w:r>
        <w:rPr>
          <w:spacing w:val="-3"/>
        </w:rPr>
        <w:t> </w:t>
      </w:r>
      <w:r>
        <w:rPr/>
        <w:t>жене</w:t>
      </w:r>
      <w:r>
        <w:rPr>
          <w:spacing w:val="-3"/>
        </w:rPr>
        <w:t> </w:t>
      </w:r>
      <w:r>
        <w:rPr/>
        <w:t>су поправиле</w:t>
      </w:r>
      <w:r>
        <w:rPr>
          <w:spacing w:val="-15"/>
        </w:rPr>
        <w:t> </w:t>
      </w:r>
      <w:r>
        <w:rPr/>
        <w:t>свој</w:t>
      </w:r>
      <w:r>
        <w:rPr>
          <w:spacing w:val="-15"/>
        </w:rPr>
        <w:t> </w:t>
      </w:r>
      <w:r>
        <w:rPr/>
        <w:t>релативан</w:t>
      </w:r>
      <w:r>
        <w:rPr>
          <w:spacing w:val="-15"/>
        </w:rPr>
        <w:t> </w:t>
      </w:r>
      <w:r>
        <w:rPr/>
        <w:t>положај</w:t>
      </w:r>
      <w:r>
        <w:rPr>
          <w:spacing w:val="-15"/>
        </w:rPr>
        <w:t> </w:t>
      </w:r>
      <w:r>
        <w:rPr/>
        <w:t>на</w:t>
      </w:r>
      <w:r>
        <w:rPr>
          <w:spacing w:val="-15"/>
        </w:rPr>
        <w:t> </w:t>
      </w:r>
      <w:r>
        <w:rPr/>
        <w:t>тржишту</w:t>
      </w:r>
      <w:r>
        <w:rPr>
          <w:spacing w:val="-15"/>
        </w:rPr>
        <w:t> </w:t>
      </w:r>
      <w:r>
        <w:rPr/>
        <w:t>рада,</w:t>
      </w:r>
      <w:r>
        <w:rPr>
          <w:spacing w:val="-15"/>
        </w:rPr>
        <w:t> </w:t>
      </w:r>
      <w:r>
        <w:rPr/>
        <w:t>тако</w:t>
      </w:r>
      <w:r>
        <w:rPr>
          <w:spacing w:val="-15"/>
        </w:rPr>
        <w:t> </w:t>
      </w:r>
      <w:r>
        <w:rPr/>
        <w:t>да</w:t>
      </w:r>
      <w:r>
        <w:rPr>
          <w:spacing w:val="-15"/>
        </w:rPr>
        <w:t> </w:t>
      </w:r>
      <w:r>
        <w:rPr/>
        <w:t>је</w:t>
      </w:r>
      <w:r>
        <w:rPr>
          <w:spacing w:val="-15"/>
        </w:rPr>
        <w:t> </w:t>
      </w:r>
      <w:r>
        <w:rPr/>
        <w:t>стопа</w:t>
      </w:r>
      <w:r>
        <w:rPr>
          <w:spacing w:val="-15"/>
        </w:rPr>
        <w:t> </w:t>
      </w:r>
      <w:r>
        <w:rPr/>
        <w:t>њихове</w:t>
      </w:r>
      <w:r>
        <w:rPr>
          <w:spacing w:val="-15"/>
        </w:rPr>
        <w:t> </w:t>
      </w:r>
      <w:r>
        <w:rPr/>
        <w:t>незапослености опала за чак 14,9 п.п. чиме је родни јаз смањен на 1,7 п.п. у 2019. години (са 5 п.п. колико је износио у 2015. години). И у случају стопе запослености младе жене су поправиле свој положај</w:t>
      </w:r>
      <w:r>
        <w:rPr>
          <w:spacing w:val="-13"/>
        </w:rPr>
        <w:t> </w:t>
      </w:r>
      <w:r>
        <w:rPr/>
        <w:t>тако</w:t>
      </w:r>
      <w:r>
        <w:rPr>
          <w:spacing w:val="-11"/>
        </w:rPr>
        <w:t> </w:t>
      </w:r>
      <w:r>
        <w:rPr/>
        <w:t>да</w:t>
      </w:r>
      <w:r>
        <w:rPr>
          <w:spacing w:val="-13"/>
        </w:rPr>
        <w:t> </w:t>
      </w:r>
      <w:r>
        <w:rPr/>
        <w:t>је</w:t>
      </w:r>
      <w:r>
        <w:rPr>
          <w:spacing w:val="-9"/>
        </w:rPr>
        <w:t> </w:t>
      </w:r>
      <w:r>
        <w:rPr/>
        <w:t>стопа</w:t>
      </w:r>
      <w:r>
        <w:rPr>
          <w:spacing w:val="-13"/>
        </w:rPr>
        <w:t> </w:t>
      </w:r>
      <w:r>
        <w:rPr/>
        <w:t>запослености</w:t>
      </w:r>
      <w:r>
        <w:rPr>
          <w:spacing w:val="-9"/>
        </w:rPr>
        <w:t> </w:t>
      </w:r>
      <w:r>
        <w:rPr/>
        <w:t>повећана</w:t>
      </w:r>
      <w:r>
        <w:rPr>
          <w:spacing w:val="-11"/>
        </w:rPr>
        <w:t> </w:t>
      </w:r>
      <w:r>
        <w:rPr/>
        <w:t>за</w:t>
      </w:r>
      <w:r>
        <w:rPr>
          <w:spacing w:val="-13"/>
        </w:rPr>
        <w:t> </w:t>
      </w:r>
      <w:r>
        <w:rPr/>
        <w:t>6,1</w:t>
      </w:r>
      <w:r>
        <w:rPr>
          <w:spacing w:val="-11"/>
        </w:rPr>
        <w:t> </w:t>
      </w:r>
      <w:r>
        <w:rPr/>
        <w:t>п.п.</w:t>
      </w:r>
      <w:r>
        <w:rPr>
          <w:spacing w:val="-6"/>
        </w:rPr>
        <w:t> </w:t>
      </w:r>
      <w:r>
        <w:rPr/>
        <w:t>у</w:t>
      </w:r>
      <w:r>
        <w:rPr>
          <w:spacing w:val="-15"/>
        </w:rPr>
        <w:t> </w:t>
      </w:r>
      <w:r>
        <w:rPr/>
        <w:t>поменутом</w:t>
      </w:r>
      <w:r>
        <w:rPr>
          <w:spacing w:val="-7"/>
        </w:rPr>
        <w:t> </w:t>
      </w:r>
      <w:r>
        <w:rPr/>
        <w:t>периоду,</w:t>
      </w:r>
      <w:r>
        <w:rPr>
          <w:spacing w:val="-9"/>
        </w:rPr>
        <w:t> </w:t>
      </w:r>
      <w:r>
        <w:rPr/>
        <w:t>али</w:t>
      </w:r>
      <w:r>
        <w:rPr>
          <w:spacing w:val="-11"/>
        </w:rPr>
        <w:t> </w:t>
      </w:r>
      <w:r>
        <w:rPr/>
        <w:t>то</w:t>
      </w:r>
      <w:r>
        <w:rPr>
          <w:spacing w:val="-10"/>
        </w:rPr>
        <w:t> </w:t>
      </w:r>
      <w:r>
        <w:rPr>
          <w:spacing w:val="-4"/>
        </w:rPr>
        <w:t>није</w:t>
      </w:r>
    </w:p>
    <w:p>
      <w:pPr>
        <w:pStyle w:val="BodyText"/>
        <w:spacing w:before="2"/>
        <w:ind w:left="0"/>
        <w:jc w:val="left"/>
        <w:rPr>
          <w:sz w:val="15"/>
        </w:rPr>
      </w:pPr>
      <w:r>
        <w:rPr>
          <w:sz w:val="15"/>
        </w:rPr>
        <mc:AlternateContent>
          <mc:Choice Requires="wps">
            <w:drawing>
              <wp:anchor distT="0" distB="0" distL="0" distR="0" allowOverlap="1" layoutInCell="1" locked="0" behindDoc="1" simplePos="0" relativeHeight="487596032">
                <wp:simplePos x="0" y="0"/>
                <wp:positionH relativeFrom="page">
                  <wp:posOffset>914704</wp:posOffset>
                </wp:positionH>
                <wp:positionV relativeFrom="paragraph">
                  <wp:posOffset>126056</wp:posOffset>
                </wp:positionV>
                <wp:extent cx="1829435" cy="9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925673pt;width:144.020pt;height:.72003pt;mso-position-horizontal-relative:page;mso-position-vertical-relative:paragraph;z-index:-15720448;mso-wrap-distance-left:0;mso-wrap-distance-right:0" id="docshape19" filled="true" fillcolor="#000000" stroked="false">
                <v:fill type="solid"/>
                <w10:wrap type="topAndBottom"/>
              </v:rect>
            </w:pict>
          </mc:Fallback>
        </mc:AlternateContent>
      </w:r>
    </w:p>
    <w:p>
      <w:pPr>
        <w:tabs>
          <w:tab w:pos="782" w:val="left" w:leader="none"/>
          <w:tab w:pos="1586" w:val="left" w:leader="none"/>
          <w:tab w:pos="2815" w:val="left" w:leader="none"/>
          <w:tab w:pos="3275" w:val="left" w:leader="none"/>
          <w:tab w:pos="4249" w:val="left" w:leader="none"/>
          <w:tab w:pos="4876" w:val="left" w:leader="none"/>
          <w:tab w:pos="5720" w:val="left" w:leader="none"/>
          <w:tab w:pos="6384" w:val="left" w:leader="none"/>
          <w:tab w:pos="6766" w:val="left" w:leader="none"/>
          <w:tab w:pos="7908" w:val="left" w:leader="none"/>
          <w:tab w:pos="8280" w:val="left" w:leader="none"/>
          <w:tab w:pos="9189" w:val="left" w:leader="none"/>
        </w:tabs>
        <w:spacing w:line="244" w:lineRule="auto" w:before="115"/>
        <w:ind w:left="360" w:right="713" w:firstLine="0"/>
        <w:jc w:val="left"/>
        <w:rPr>
          <w:sz w:val="18"/>
        </w:rPr>
      </w:pPr>
      <w:r>
        <w:rPr>
          <w:spacing w:val="-6"/>
          <w:sz w:val="18"/>
          <w:vertAlign w:val="superscript"/>
        </w:rPr>
        <w:t>26</w:t>
      </w:r>
      <w:r>
        <w:rPr>
          <w:sz w:val="18"/>
          <w:vertAlign w:val="baseline"/>
        </w:rPr>
        <w:tab/>
      </w:r>
      <w:r>
        <w:rPr>
          <w:spacing w:val="-2"/>
          <w:sz w:val="18"/>
          <w:vertAlign w:val="baseline"/>
        </w:rPr>
        <w:t>Извор:</w:t>
      </w:r>
      <w:r>
        <w:rPr>
          <w:sz w:val="18"/>
          <w:vertAlign w:val="baseline"/>
        </w:rPr>
        <w:tab/>
      </w:r>
      <w:r>
        <w:rPr>
          <w:spacing w:val="-2"/>
          <w:sz w:val="18"/>
          <w:vertAlign w:val="baseline"/>
        </w:rPr>
        <w:t>„Транзиција</w:t>
      </w:r>
      <w:r>
        <w:rPr>
          <w:sz w:val="18"/>
          <w:vertAlign w:val="baseline"/>
        </w:rPr>
        <w:tab/>
      </w:r>
      <w:r>
        <w:rPr>
          <w:spacing w:val="-6"/>
          <w:sz w:val="18"/>
          <w:vertAlign w:val="baseline"/>
        </w:rPr>
        <w:t>на</w:t>
      </w:r>
      <w:r>
        <w:rPr>
          <w:sz w:val="18"/>
          <w:vertAlign w:val="baseline"/>
        </w:rPr>
        <w:tab/>
      </w:r>
      <w:r>
        <w:rPr>
          <w:spacing w:val="-2"/>
          <w:sz w:val="18"/>
          <w:vertAlign w:val="baseline"/>
        </w:rPr>
        <w:t>тржиште</w:t>
      </w:r>
      <w:r>
        <w:rPr>
          <w:sz w:val="18"/>
          <w:vertAlign w:val="baseline"/>
        </w:rPr>
        <w:tab/>
      </w:r>
      <w:r>
        <w:rPr>
          <w:spacing w:val="-4"/>
          <w:sz w:val="18"/>
          <w:vertAlign w:val="baseline"/>
        </w:rPr>
        <w:t>рада</w:t>
      </w:r>
      <w:r>
        <w:rPr>
          <w:sz w:val="18"/>
          <w:vertAlign w:val="baseline"/>
        </w:rPr>
        <w:tab/>
      </w:r>
      <w:r>
        <w:rPr>
          <w:spacing w:val="-2"/>
          <w:sz w:val="18"/>
          <w:vertAlign w:val="baseline"/>
        </w:rPr>
        <w:t>младих</w:t>
      </w:r>
      <w:r>
        <w:rPr>
          <w:sz w:val="18"/>
          <w:vertAlign w:val="baseline"/>
        </w:rPr>
        <w:tab/>
      </w:r>
      <w:r>
        <w:rPr>
          <w:spacing w:val="-4"/>
          <w:sz w:val="18"/>
          <w:vertAlign w:val="baseline"/>
        </w:rPr>
        <w:t>жена</w:t>
      </w:r>
      <w:r>
        <w:rPr>
          <w:sz w:val="18"/>
          <w:vertAlign w:val="baseline"/>
        </w:rPr>
        <w:tab/>
      </w:r>
      <w:r>
        <w:rPr>
          <w:spacing w:val="-10"/>
          <w:sz w:val="18"/>
          <w:vertAlign w:val="baseline"/>
        </w:rPr>
        <w:t>и</w:t>
      </w:r>
      <w:r>
        <w:rPr>
          <w:sz w:val="18"/>
          <w:vertAlign w:val="baseline"/>
        </w:rPr>
        <w:tab/>
      </w:r>
      <w:r>
        <w:rPr>
          <w:spacing w:val="-2"/>
          <w:sz w:val="18"/>
          <w:vertAlign w:val="baseline"/>
        </w:rPr>
        <w:t>мушкараца</w:t>
      </w:r>
      <w:r>
        <w:rPr>
          <w:sz w:val="18"/>
          <w:vertAlign w:val="baseline"/>
        </w:rPr>
        <w:tab/>
      </w:r>
      <w:r>
        <w:rPr>
          <w:spacing w:val="-10"/>
          <w:sz w:val="18"/>
          <w:vertAlign w:val="baseline"/>
        </w:rPr>
        <w:t>у</w:t>
      </w:r>
      <w:r>
        <w:rPr>
          <w:sz w:val="18"/>
          <w:vertAlign w:val="baseline"/>
        </w:rPr>
        <w:tab/>
      </w:r>
      <w:r>
        <w:rPr>
          <w:spacing w:val="-2"/>
          <w:sz w:val="18"/>
          <w:vertAlign w:val="baseline"/>
        </w:rPr>
        <w:t>Србијиˮ</w:t>
      </w:r>
      <w:r>
        <w:rPr>
          <w:sz w:val="18"/>
          <w:vertAlign w:val="baseline"/>
        </w:rPr>
        <w:tab/>
      </w:r>
      <w:r>
        <w:rPr>
          <w:spacing w:val="-2"/>
          <w:sz w:val="18"/>
          <w:vertAlign w:val="baseline"/>
        </w:rPr>
        <w:t>(2016.) </w:t>
      </w:r>
      <w:hyperlink r:id="rId11">
        <w:r>
          <w:rPr>
            <w:color w:val="0462C1"/>
            <w:spacing w:val="-2"/>
            <w:sz w:val="18"/>
            <w:u w:val="single" w:color="0462C1"/>
            <w:vertAlign w:val="baseline"/>
          </w:rPr>
          <w:t>https://www.ilo.org/employment/areas/youth-employment/work-for-youth/publications/national-reports/WCMS_488799/lang--</w:t>
        </w:r>
      </w:hyperlink>
      <w:r>
        <w:rPr>
          <w:color w:val="0462C1"/>
          <w:spacing w:val="40"/>
          <w:sz w:val="18"/>
          <w:vertAlign w:val="baseline"/>
        </w:rPr>
        <w:t> </w:t>
      </w:r>
      <w:hyperlink r:id="rId11">
        <w:r>
          <w:rPr>
            <w:color w:val="0462C1"/>
            <w:spacing w:val="-2"/>
            <w:sz w:val="18"/>
            <w:u w:val="single" w:color="0462C1"/>
            <w:vertAlign w:val="baseline"/>
          </w:rPr>
          <w:t>en/index.htm</w:t>
        </w:r>
      </w:hyperlink>
    </w:p>
    <w:p>
      <w:pPr>
        <w:spacing w:before="12"/>
        <w:ind w:left="360" w:right="0" w:firstLine="0"/>
        <w:jc w:val="left"/>
        <w:rPr>
          <w:sz w:val="18"/>
        </w:rPr>
      </w:pPr>
      <w:r>
        <w:rPr>
          <w:sz w:val="18"/>
          <w:vertAlign w:val="superscript"/>
        </w:rPr>
        <w:t>27</w:t>
      </w:r>
      <w:r>
        <w:rPr>
          <w:spacing w:val="3"/>
          <w:sz w:val="18"/>
          <w:vertAlign w:val="baseline"/>
        </w:rPr>
        <w:t> </w:t>
      </w:r>
      <w:r>
        <w:rPr>
          <w:sz w:val="18"/>
          <w:vertAlign w:val="baseline"/>
        </w:rPr>
        <w:t>Извор: Youth Studies</w:t>
      </w:r>
      <w:r>
        <w:rPr>
          <w:spacing w:val="-2"/>
          <w:sz w:val="18"/>
          <w:vertAlign w:val="baseline"/>
        </w:rPr>
        <w:t> </w:t>
      </w:r>
      <w:r>
        <w:rPr>
          <w:sz w:val="18"/>
          <w:vertAlign w:val="baseline"/>
        </w:rPr>
        <w:t>Southeast</w:t>
      </w:r>
      <w:r>
        <w:rPr>
          <w:spacing w:val="-3"/>
          <w:sz w:val="18"/>
          <w:vertAlign w:val="baseline"/>
        </w:rPr>
        <w:t> </w:t>
      </w:r>
      <w:r>
        <w:rPr>
          <w:sz w:val="18"/>
          <w:vertAlign w:val="baseline"/>
        </w:rPr>
        <w:t>Europe</w:t>
      </w:r>
      <w:r>
        <w:rPr>
          <w:spacing w:val="-2"/>
          <w:sz w:val="18"/>
          <w:vertAlign w:val="baseline"/>
        </w:rPr>
        <w:t> </w:t>
      </w:r>
      <w:r>
        <w:rPr>
          <w:sz w:val="18"/>
          <w:vertAlign w:val="baseline"/>
        </w:rPr>
        <w:t>2018/2019,</w:t>
      </w:r>
      <w:r>
        <w:rPr>
          <w:spacing w:val="-1"/>
          <w:sz w:val="18"/>
          <w:vertAlign w:val="baseline"/>
        </w:rPr>
        <w:t> </w:t>
      </w:r>
      <w:r>
        <w:rPr>
          <w:sz w:val="18"/>
          <w:vertAlign w:val="baseline"/>
        </w:rPr>
        <w:t>(Попадић и</w:t>
      </w:r>
      <w:r>
        <w:rPr>
          <w:spacing w:val="-2"/>
          <w:sz w:val="18"/>
          <w:vertAlign w:val="baseline"/>
        </w:rPr>
        <w:t> </w:t>
      </w:r>
      <w:r>
        <w:rPr>
          <w:sz w:val="18"/>
          <w:vertAlign w:val="baseline"/>
        </w:rPr>
        <w:t>др.,</w:t>
      </w:r>
      <w:r>
        <w:rPr>
          <w:spacing w:val="-3"/>
          <w:sz w:val="18"/>
          <w:vertAlign w:val="baseline"/>
        </w:rPr>
        <w:t> </w:t>
      </w:r>
      <w:r>
        <w:rPr>
          <w:sz w:val="18"/>
          <w:vertAlign w:val="baseline"/>
        </w:rPr>
        <w:t>2019.)</w:t>
      </w:r>
      <w:r>
        <w:rPr>
          <w:spacing w:val="-1"/>
          <w:sz w:val="18"/>
          <w:vertAlign w:val="baseline"/>
        </w:rPr>
        <w:t> </w:t>
      </w:r>
      <w:r>
        <w:rPr>
          <w:sz w:val="18"/>
          <w:vertAlign w:val="baseline"/>
        </w:rPr>
        <w:t>стр</w:t>
      </w:r>
      <w:r>
        <w:rPr>
          <w:spacing w:val="-2"/>
          <w:sz w:val="18"/>
          <w:vertAlign w:val="baseline"/>
        </w:rPr>
        <w:t> </w:t>
      </w:r>
      <w:r>
        <w:rPr>
          <w:sz w:val="18"/>
          <w:vertAlign w:val="baseline"/>
        </w:rPr>
        <w:t>10</w:t>
      </w:r>
      <w:r>
        <w:rPr>
          <w:spacing w:val="1"/>
          <w:sz w:val="18"/>
          <w:vertAlign w:val="baseline"/>
        </w:rPr>
        <w:t> </w:t>
      </w:r>
      <w:hyperlink r:id="rId12">
        <w:r>
          <w:rPr>
            <w:color w:val="0462C1"/>
            <w:sz w:val="18"/>
            <w:u w:val="single" w:color="0462C1"/>
            <w:vertAlign w:val="baseline"/>
          </w:rPr>
          <w:t>https://www.fes.de/en/youth-</w:t>
        </w:r>
        <w:r>
          <w:rPr>
            <w:color w:val="0462C1"/>
            <w:spacing w:val="-2"/>
            <w:sz w:val="18"/>
            <w:u w:val="single" w:color="0462C1"/>
            <w:vertAlign w:val="baseline"/>
          </w:rPr>
          <w:t>studies/</w:t>
        </w:r>
      </w:hyperlink>
    </w:p>
    <w:p>
      <w:pPr>
        <w:spacing w:before="3"/>
        <w:ind w:left="360" w:right="713" w:firstLine="0"/>
        <w:jc w:val="left"/>
        <w:rPr>
          <w:sz w:val="18"/>
        </w:rPr>
      </w:pPr>
      <w:r>
        <w:rPr>
          <w:position w:val="6"/>
          <w:sz w:val="12"/>
        </w:rPr>
        <w:t>28</w:t>
      </w:r>
      <w:r>
        <w:rPr>
          <w:spacing w:val="12"/>
          <w:position w:val="6"/>
          <w:sz w:val="12"/>
        </w:rPr>
        <w:t> </w:t>
      </w:r>
      <w:r>
        <w:rPr>
          <w:sz w:val="18"/>
        </w:rPr>
        <w:t>Албанија,</w:t>
      </w:r>
      <w:r>
        <w:rPr>
          <w:spacing w:val="-3"/>
          <w:sz w:val="18"/>
        </w:rPr>
        <w:t> </w:t>
      </w:r>
      <w:r>
        <w:rPr>
          <w:sz w:val="18"/>
        </w:rPr>
        <w:t>Босна</w:t>
      </w:r>
      <w:r>
        <w:rPr>
          <w:spacing w:val="-4"/>
          <w:sz w:val="18"/>
        </w:rPr>
        <w:t> </w:t>
      </w:r>
      <w:r>
        <w:rPr>
          <w:sz w:val="18"/>
        </w:rPr>
        <w:t>и</w:t>
      </w:r>
      <w:r>
        <w:rPr>
          <w:spacing w:val="39"/>
          <w:sz w:val="18"/>
        </w:rPr>
        <w:t> </w:t>
      </w:r>
      <w:r>
        <w:rPr>
          <w:sz w:val="18"/>
        </w:rPr>
        <w:t>Херцеговина,</w:t>
      </w:r>
      <w:r>
        <w:rPr>
          <w:spacing w:val="-3"/>
          <w:sz w:val="18"/>
        </w:rPr>
        <w:t> </w:t>
      </w:r>
      <w:r>
        <w:rPr>
          <w:sz w:val="18"/>
        </w:rPr>
        <w:t>Бугарска,</w:t>
      </w:r>
      <w:r>
        <w:rPr>
          <w:spacing w:val="-3"/>
          <w:sz w:val="18"/>
        </w:rPr>
        <w:t> </w:t>
      </w:r>
      <w:r>
        <w:rPr>
          <w:sz w:val="18"/>
        </w:rPr>
        <w:t>Хрватска,</w:t>
      </w:r>
      <w:r>
        <w:rPr>
          <w:spacing w:val="-3"/>
          <w:sz w:val="18"/>
        </w:rPr>
        <w:t> </w:t>
      </w:r>
      <w:r>
        <w:rPr>
          <w:sz w:val="18"/>
        </w:rPr>
        <w:t>Косово*, Северна</w:t>
      </w:r>
      <w:r>
        <w:rPr>
          <w:spacing w:val="-4"/>
          <w:sz w:val="18"/>
        </w:rPr>
        <w:t> </w:t>
      </w:r>
      <w:r>
        <w:rPr>
          <w:sz w:val="18"/>
        </w:rPr>
        <w:t>Македонија,</w:t>
      </w:r>
      <w:r>
        <w:rPr>
          <w:spacing w:val="-3"/>
          <w:sz w:val="18"/>
        </w:rPr>
        <w:t> </w:t>
      </w:r>
      <w:r>
        <w:rPr>
          <w:sz w:val="18"/>
        </w:rPr>
        <w:t>Црна</w:t>
      </w:r>
      <w:r>
        <w:rPr>
          <w:spacing w:val="-4"/>
          <w:sz w:val="18"/>
        </w:rPr>
        <w:t> </w:t>
      </w:r>
      <w:r>
        <w:rPr>
          <w:sz w:val="18"/>
        </w:rPr>
        <w:t>Гора,</w:t>
      </w:r>
      <w:r>
        <w:rPr>
          <w:spacing w:val="-3"/>
          <w:sz w:val="18"/>
        </w:rPr>
        <w:t> </w:t>
      </w:r>
      <w:r>
        <w:rPr>
          <w:sz w:val="18"/>
        </w:rPr>
        <w:t>Румунија,</w:t>
      </w:r>
      <w:r>
        <w:rPr>
          <w:spacing w:val="-3"/>
          <w:sz w:val="18"/>
        </w:rPr>
        <w:t> </w:t>
      </w:r>
      <w:r>
        <w:rPr>
          <w:sz w:val="18"/>
        </w:rPr>
        <w:t>Србија</w:t>
      </w:r>
      <w:r>
        <w:rPr>
          <w:spacing w:val="-3"/>
          <w:sz w:val="18"/>
        </w:rPr>
        <w:t> </w:t>
      </w:r>
      <w:r>
        <w:rPr>
          <w:sz w:val="18"/>
        </w:rPr>
        <w:t>и </w:t>
      </w:r>
      <w:r>
        <w:rPr>
          <w:spacing w:val="-2"/>
          <w:sz w:val="18"/>
        </w:rPr>
        <w:t>Словенија</w:t>
      </w:r>
    </w:p>
    <w:p>
      <w:pPr>
        <w:spacing w:after="0"/>
        <w:jc w:val="left"/>
        <w:rPr>
          <w:sz w:val="18"/>
        </w:rPr>
        <w:sectPr>
          <w:pgSz w:w="12240" w:h="15840"/>
          <w:pgMar w:header="0" w:footer="702" w:top="1360" w:bottom="900" w:left="1080" w:right="720"/>
        </w:sectPr>
      </w:pPr>
    </w:p>
    <w:p>
      <w:pPr>
        <w:pStyle w:val="BodyText"/>
        <w:spacing w:before="72"/>
        <w:ind w:right="711"/>
      </w:pPr>
      <w:r>
        <w:rPr/>
        <w:t>било довољно да се смањи родни јаз јер је запосленост младих мушкараца расла брже (за 7,2 п.п.). У односу на своје вршњаке, младе жене имају и релативно веће потешкоће са активацијом</w:t>
      </w:r>
      <w:r>
        <w:rPr>
          <w:spacing w:val="-6"/>
        </w:rPr>
        <w:t> </w:t>
      </w:r>
      <w:r>
        <w:rPr/>
        <w:t>на</w:t>
      </w:r>
      <w:r>
        <w:rPr>
          <w:spacing w:val="-4"/>
        </w:rPr>
        <w:t> </w:t>
      </w:r>
      <w:r>
        <w:rPr/>
        <w:t>тржишту</w:t>
      </w:r>
      <w:r>
        <w:rPr>
          <w:spacing w:val="-6"/>
        </w:rPr>
        <w:t> </w:t>
      </w:r>
      <w:r>
        <w:rPr/>
        <w:t>рада,</w:t>
      </w:r>
      <w:r>
        <w:rPr>
          <w:spacing w:val="-3"/>
        </w:rPr>
        <w:t> </w:t>
      </w:r>
      <w:r>
        <w:rPr/>
        <w:t>с</w:t>
      </w:r>
      <w:r>
        <w:rPr>
          <w:spacing w:val="-4"/>
        </w:rPr>
        <w:t> </w:t>
      </w:r>
      <w:r>
        <w:rPr/>
        <w:t>обзиром</w:t>
      </w:r>
      <w:r>
        <w:rPr>
          <w:spacing w:val="-4"/>
        </w:rPr>
        <w:t> </w:t>
      </w:r>
      <w:r>
        <w:rPr/>
        <w:t>на</w:t>
      </w:r>
      <w:r>
        <w:rPr>
          <w:spacing w:val="-4"/>
        </w:rPr>
        <w:t> </w:t>
      </w:r>
      <w:r>
        <w:rPr/>
        <w:t>то</w:t>
      </w:r>
      <w:r>
        <w:rPr>
          <w:spacing w:val="-8"/>
        </w:rPr>
        <w:t> </w:t>
      </w:r>
      <w:r>
        <w:rPr/>
        <w:t>да</w:t>
      </w:r>
      <w:r>
        <w:rPr>
          <w:spacing w:val="-4"/>
        </w:rPr>
        <w:t> </w:t>
      </w:r>
      <w:r>
        <w:rPr/>
        <w:t>њихова</w:t>
      </w:r>
      <w:r>
        <w:rPr>
          <w:spacing w:val="-5"/>
        </w:rPr>
        <w:t> </w:t>
      </w:r>
      <w:r>
        <w:rPr/>
        <w:t>стопа</w:t>
      </w:r>
      <w:r>
        <w:rPr>
          <w:spacing w:val="-4"/>
        </w:rPr>
        <w:t> </w:t>
      </w:r>
      <w:r>
        <w:rPr/>
        <w:t>активности</w:t>
      </w:r>
      <w:r>
        <w:rPr>
          <w:spacing w:val="-2"/>
        </w:rPr>
        <w:t> </w:t>
      </w:r>
      <w:r>
        <w:rPr/>
        <w:t>износи 40,1%</w:t>
      </w:r>
      <w:r>
        <w:rPr>
          <w:spacing w:val="-2"/>
        </w:rPr>
        <w:t> </w:t>
      </w:r>
      <w:r>
        <w:rPr/>
        <w:t>у 2019. години (нижа за 13,4 п.п. од стопе активности младих мушкараца) и није се мењала током посматраног периода.</w:t>
      </w:r>
    </w:p>
    <w:p>
      <w:pPr>
        <w:spacing w:before="120"/>
        <w:ind w:left="1080" w:right="0" w:firstLine="0"/>
        <w:jc w:val="both"/>
        <w:rPr>
          <w:i/>
          <w:sz w:val="24"/>
        </w:rPr>
      </w:pPr>
      <w:r>
        <w:rPr>
          <w:i/>
          <w:sz w:val="24"/>
        </w:rPr>
        <w:t>Старије</w:t>
      </w:r>
      <w:r>
        <w:rPr>
          <w:i/>
          <w:spacing w:val="-4"/>
          <w:sz w:val="24"/>
        </w:rPr>
        <w:t> </w:t>
      </w:r>
      <w:r>
        <w:rPr>
          <w:i/>
          <w:sz w:val="24"/>
        </w:rPr>
        <w:t>становништво</w:t>
      </w:r>
      <w:r>
        <w:rPr>
          <w:i/>
          <w:spacing w:val="-4"/>
          <w:sz w:val="24"/>
        </w:rPr>
        <w:t> </w:t>
      </w:r>
      <w:r>
        <w:rPr>
          <w:i/>
          <w:sz w:val="24"/>
        </w:rPr>
        <w:t>радног</w:t>
      </w:r>
      <w:r>
        <w:rPr>
          <w:i/>
          <w:spacing w:val="-3"/>
          <w:sz w:val="24"/>
        </w:rPr>
        <w:t> </w:t>
      </w:r>
      <w:r>
        <w:rPr>
          <w:i/>
          <w:spacing w:val="-2"/>
          <w:sz w:val="24"/>
        </w:rPr>
        <w:t>узраста</w:t>
      </w:r>
    </w:p>
    <w:p>
      <w:pPr>
        <w:pStyle w:val="BodyText"/>
        <w:spacing w:before="120"/>
        <w:ind w:right="719" w:firstLine="719"/>
      </w:pPr>
      <w:r>
        <w:rPr/>
        <w:t>Србија се, као и већина земаља у ЕУ, суочава с проблемом старења становништва. Старије особе радног узраста (старости 50-64 године) представљају рањиву групу на тржишту рада која броји око 1,4 милиона лица у 2019. години. Бележи се смањење ове старосне кохорте од 128 хиљада лица у периоду 2015-2019. године.</w:t>
      </w:r>
    </w:p>
    <w:p>
      <w:pPr>
        <w:pStyle w:val="BodyText"/>
        <w:spacing w:line="264" w:lineRule="auto" w:before="123"/>
        <w:ind w:left="4100" w:right="908" w:hanging="3551"/>
      </w:pPr>
      <w:r>
        <w:rPr/>
        <w:t>Табела</w:t>
      </w:r>
      <w:r>
        <w:rPr>
          <w:spacing w:val="-5"/>
        </w:rPr>
        <w:t> </w:t>
      </w:r>
      <w:r>
        <w:rPr/>
        <w:t>8.</w:t>
      </w:r>
      <w:r>
        <w:rPr>
          <w:spacing w:val="80"/>
        </w:rPr>
        <w:t> </w:t>
      </w:r>
      <w:r>
        <w:rPr/>
        <w:t>Основни</w:t>
      </w:r>
      <w:r>
        <w:rPr>
          <w:spacing w:val="-4"/>
        </w:rPr>
        <w:t> </w:t>
      </w:r>
      <w:r>
        <w:rPr/>
        <w:t>показатељи</w:t>
      </w:r>
      <w:r>
        <w:rPr>
          <w:spacing w:val="-3"/>
        </w:rPr>
        <w:t> </w:t>
      </w:r>
      <w:r>
        <w:rPr/>
        <w:t>тржишта</w:t>
      </w:r>
      <w:r>
        <w:rPr>
          <w:spacing w:val="-4"/>
        </w:rPr>
        <w:t> </w:t>
      </w:r>
      <w:r>
        <w:rPr/>
        <w:t>рада</w:t>
      </w:r>
      <w:r>
        <w:rPr>
          <w:spacing w:val="-5"/>
        </w:rPr>
        <w:t> </w:t>
      </w:r>
      <w:r>
        <w:rPr/>
        <w:t>за</w:t>
      </w:r>
      <w:r>
        <w:rPr>
          <w:spacing w:val="-3"/>
        </w:rPr>
        <w:t> </w:t>
      </w:r>
      <w:r>
        <w:rPr/>
        <w:t>старије</w:t>
      </w:r>
      <w:r>
        <w:rPr>
          <w:spacing w:val="-4"/>
        </w:rPr>
        <w:t> </w:t>
      </w:r>
      <w:r>
        <w:rPr/>
        <w:t>становништво</w:t>
      </w:r>
      <w:r>
        <w:rPr>
          <w:spacing w:val="-4"/>
        </w:rPr>
        <w:t> </w:t>
      </w:r>
      <w:r>
        <w:rPr/>
        <w:t>радног</w:t>
      </w:r>
      <w:r>
        <w:rPr>
          <w:spacing w:val="-2"/>
        </w:rPr>
        <w:t> </w:t>
      </w:r>
      <w:r>
        <w:rPr/>
        <w:t>узраста (50-64), 2015-2019</w:t>
      </w:r>
    </w:p>
    <w:p>
      <w:pPr>
        <w:pStyle w:val="BodyText"/>
        <w:spacing w:before="11"/>
        <w:ind w:left="0"/>
        <w:jc w:val="left"/>
        <w:rPr>
          <w:sz w:val="10"/>
        </w:r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5"/>
        <w:gridCol w:w="1046"/>
        <w:gridCol w:w="920"/>
        <w:gridCol w:w="920"/>
        <w:gridCol w:w="919"/>
        <w:gridCol w:w="794"/>
        <w:gridCol w:w="1118"/>
      </w:tblGrid>
      <w:tr>
        <w:trPr>
          <w:trHeight w:val="366" w:hRule="atLeast"/>
        </w:trPr>
        <w:tc>
          <w:tcPr>
            <w:tcW w:w="3315" w:type="dxa"/>
            <w:vMerge w:val="restart"/>
            <w:tcBorders>
              <w:top w:val="single" w:sz="4" w:space="0" w:color="000000"/>
              <w:bottom w:val="single" w:sz="4" w:space="0" w:color="000000"/>
              <w:right w:val="single" w:sz="4" w:space="0" w:color="000000"/>
            </w:tcBorders>
          </w:tcPr>
          <w:p>
            <w:pPr>
              <w:pStyle w:val="TableParagraph"/>
              <w:rPr>
                <w:sz w:val="22"/>
              </w:rPr>
            </w:pPr>
          </w:p>
        </w:tc>
        <w:tc>
          <w:tcPr>
            <w:tcW w:w="1046" w:type="dxa"/>
            <w:tcBorders>
              <w:top w:val="single" w:sz="4" w:space="0" w:color="000000"/>
              <w:left w:val="single" w:sz="4" w:space="0" w:color="000000"/>
              <w:bottom w:val="single" w:sz="4" w:space="0" w:color="000000"/>
            </w:tcBorders>
          </w:tcPr>
          <w:p>
            <w:pPr>
              <w:pStyle w:val="TableParagraph"/>
              <w:spacing w:before="67"/>
              <w:ind w:right="230"/>
              <w:jc w:val="right"/>
              <w:rPr>
                <w:b/>
                <w:sz w:val="20"/>
              </w:rPr>
            </w:pPr>
            <w:r>
              <w:rPr>
                <w:b/>
                <w:spacing w:val="-4"/>
                <w:sz w:val="20"/>
              </w:rPr>
              <w:t>2015</w:t>
            </w:r>
          </w:p>
        </w:tc>
        <w:tc>
          <w:tcPr>
            <w:tcW w:w="920" w:type="dxa"/>
            <w:tcBorders>
              <w:top w:val="single" w:sz="4" w:space="0" w:color="000000"/>
              <w:bottom w:val="single" w:sz="4" w:space="0" w:color="000000"/>
            </w:tcBorders>
          </w:tcPr>
          <w:p>
            <w:pPr>
              <w:pStyle w:val="TableParagraph"/>
              <w:spacing w:before="67"/>
              <w:ind w:right="231"/>
              <w:jc w:val="right"/>
              <w:rPr>
                <w:b/>
                <w:sz w:val="20"/>
              </w:rPr>
            </w:pPr>
            <w:r>
              <w:rPr>
                <w:b/>
                <w:spacing w:val="-4"/>
                <w:sz w:val="20"/>
              </w:rPr>
              <w:t>2016</w:t>
            </w:r>
          </w:p>
        </w:tc>
        <w:tc>
          <w:tcPr>
            <w:tcW w:w="920" w:type="dxa"/>
            <w:tcBorders>
              <w:top w:val="single" w:sz="4" w:space="0" w:color="000000"/>
              <w:bottom w:val="single" w:sz="4" w:space="0" w:color="000000"/>
            </w:tcBorders>
          </w:tcPr>
          <w:p>
            <w:pPr>
              <w:pStyle w:val="TableParagraph"/>
              <w:spacing w:before="67"/>
              <w:ind w:right="229"/>
              <w:jc w:val="right"/>
              <w:rPr>
                <w:b/>
                <w:sz w:val="20"/>
              </w:rPr>
            </w:pPr>
            <w:r>
              <w:rPr>
                <w:b/>
                <w:spacing w:val="-4"/>
                <w:sz w:val="20"/>
              </w:rPr>
              <w:t>2017</w:t>
            </w:r>
          </w:p>
        </w:tc>
        <w:tc>
          <w:tcPr>
            <w:tcW w:w="919" w:type="dxa"/>
            <w:tcBorders>
              <w:top w:val="single" w:sz="4" w:space="0" w:color="000000"/>
              <w:bottom w:val="single" w:sz="4" w:space="0" w:color="000000"/>
            </w:tcBorders>
          </w:tcPr>
          <w:p>
            <w:pPr>
              <w:pStyle w:val="TableParagraph"/>
              <w:spacing w:before="67"/>
              <w:ind w:right="229"/>
              <w:jc w:val="right"/>
              <w:rPr>
                <w:b/>
                <w:sz w:val="20"/>
              </w:rPr>
            </w:pPr>
            <w:r>
              <w:rPr>
                <w:b/>
                <w:spacing w:val="-4"/>
                <w:sz w:val="20"/>
              </w:rPr>
              <w:t>2018</w:t>
            </w:r>
          </w:p>
        </w:tc>
        <w:tc>
          <w:tcPr>
            <w:tcW w:w="794" w:type="dxa"/>
            <w:tcBorders>
              <w:top w:val="single" w:sz="4" w:space="0" w:color="000000"/>
              <w:bottom w:val="single" w:sz="4" w:space="0" w:color="000000"/>
              <w:right w:val="single" w:sz="4" w:space="0" w:color="000000"/>
            </w:tcBorders>
          </w:tcPr>
          <w:p>
            <w:pPr>
              <w:pStyle w:val="TableParagraph"/>
              <w:spacing w:before="67"/>
              <w:ind w:right="98"/>
              <w:jc w:val="right"/>
              <w:rPr>
                <w:b/>
                <w:sz w:val="20"/>
              </w:rPr>
            </w:pPr>
            <w:r>
              <w:rPr>
                <w:b/>
                <w:spacing w:val="-4"/>
                <w:sz w:val="20"/>
              </w:rPr>
              <w:t>2019</w:t>
            </w:r>
          </w:p>
        </w:tc>
        <w:tc>
          <w:tcPr>
            <w:tcW w:w="1118" w:type="dxa"/>
            <w:tcBorders>
              <w:top w:val="single" w:sz="4" w:space="0" w:color="000000"/>
              <w:left w:val="single" w:sz="4" w:space="0" w:color="000000"/>
              <w:bottom w:val="single" w:sz="4" w:space="0" w:color="000000"/>
            </w:tcBorders>
          </w:tcPr>
          <w:p>
            <w:pPr>
              <w:pStyle w:val="TableParagraph"/>
              <w:spacing w:line="181" w:lineRule="exact"/>
              <w:ind w:left="232"/>
              <w:rPr>
                <w:b/>
                <w:sz w:val="16"/>
              </w:rPr>
            </w:pPr>
            <w:r>
              <w:rPr>
                <w:b/>
                <w:spacing w:val="-2"/>
                <w:sz w:val="16"/>
              </w:rPr>
              <w:t>Промена</w:t>
            </w:r>
          </w:p>
          <w:p>
            <w:pPr>
              <w:pStyle w:val="TableParagraph"/>
              <w:spacing w:line="165" w:lineRule="exact" w:before="1"/>
              <w:ind w:left="215"/>
              <w:rPr>
                <w:b/>
                <w:sz w:val="16"/>
              </w:rPr>
            </w:pPr>
            <w:r>
              <w:rPr>
                <w:b/>
                <w:spacing w:val="-2"/>
                <w:sz w:val="16"/>
              </w:rPr>
              <w:t>2019/2015</w:t>
            </w:r>
          </w:p>
        </w:tc>
      </w:tr>
      <w:tr>
        <w:trPr>
          <w:trHeight w:val="301" w:hRule="atLeast"/>
        </w:trPr>
        <w:tc>
          <w:tcPr>
            <w:tcW w:w="3315" w:type="dxa"/>
            <w:vMerge/>
            <w:tcBorders>
              <w:top w:val="nil"/>
              <w:bottom w:val="single" w:sz="4" w:space="0" w:color="000000"/>
              <w:right w:val="single" w:sz="4" w:space="0" w:color="000000"/>
            </w:tcBorders>
          </w:tcPr>
          <w:p>
            <w:pPr>
              <w:rPr>
                <w:sz w:val="2"/>
                <w:szCs w:val="2"/>
              </w:rPr>
            </w:pPr>
          </w:p>
        </w:tc>
        <w:tc>
          <w:tcPr>
            <w:tcW w:w="5717" w:type="dxa"/>
            <w:gridSpan w:val="6"/>
            <w:tcBorders>
              <w:top w:val="single" w:sz="4" w:space="0" w:color="000000"/>
              <w:left w:val="single" w:sz="4" w:space="0" w:color="000000"/>
              <w:bottom w:val="single" w:sz="4" w:space="0" w:color="000000"/>
            </w:tcBorders>
          </w:tcPr>
          <w:p>
            <w:pPr>
              <w:pStyle w:val="TableParagraph"/>
              <w:spacing w:before="43"/>
              <w:ind w:left="1586"/>
              <w:rPr>
                <w:sz w:val="18"/>
              </w:rPr>
            </w:pPr>
            <w:r>
              <w:rPr>
                <w:sz w:val="18"/>
              </w:rPr>
              <w:t>Апсолутни</w:t>
            </w:r>
            <w:r>
              <w:rPr>
                <w:spacing w:val="-3"/>
                <w:sz w:val="18"/>
              </w:rPr>
              <w:t> </w:t>
            </w:r>
            <w:r>
              <w:rPr>
                <w:sz w:val="18"/>
              </w:rPr>
              <w:t>бројеви</w:t>
            </w:r>
            <w:r>
              <w:rPr>
                <w:spacing w:val="-4"/>
                <w:sz w:val="18"/>
              </w:rPr>
              <w:t> </w:t>
            </w:r>
            <w:r>
              <w:rPr>
                <w:sz w:val="18"/>
              </w:rPr>
              <w:t>(у</w:t>
            </w:r>
            <w:r>
              <w:rPr>
                <w:spacing w:val="-6"/>
                <w:sz w:val="18"/>
              </w:rPr>
              <w:t> </w:t>
            </w:r>
            <w:r>
              <w:rPr>
                <w:spacing w:val="-2"/>
                <w:sz w:val="18"/>
              </w:rPr>
              <w:t>хиљадама)</w:t>
            </w:r>
          </w:p>
        </w:tc>
      </w:tr>
      <w:tr>
        <w:trPr>
          <w:trHeight w:val="296" w:hRule="atLeast"/>
        </w:trPr>
        <w:tc>
          <w:tcPr>
            <w:tcW w:w="3315" w:type="dxa"/>
            <w:tcBorders>
              <w:top w:val="single" w:sz="4" w:space="0" w:color="000000"/>
              <w:right w:val="single" w:sz="4" w:space="0" w:color="000000"/>
            </w:tcBorders>
          </w:tcPr>
          <w:p>
            <w:pPr>
              <w:pStyle w:val="TableParagraph"/>
              <w:spacing w:before="26"/>
              <w:ind w:left="122"/>
              <w:rPr>
                <w:sz w:val="20"/>
              </w:rPr>
            </w:pPr>
            <w:r>
              <w:rPr>
                <w:sz w:val="20"/>
              </w:rPr>
              <w:t>Популација</w:t>
            </w:r>
            <w:r>
              <w:rPr>
                <w:spacing w:val="-10"/>
                <w:sz w:val="20"/>
              </w:rPr>
              <w:t> </w:t>
            </w:r>
            <w:r>
              <w:rPr>
                <w:sz w:val="20"/>
              </w:rPr>
              <w:t>старости</w:t>
            </w:r>
            <w:r>
              <w:rPr>
                <w:spacing w:val="-12"/>
                <w:sz w:val="20"/>
              </w:rPr>
              <w:t> </w:t>
            </w:r>
            <w:r>
              <w:rPr>
                <w:sz w:val="20"/>
              </w:rPr>
              <w:t>50-</w:t>
            </w:r>
            <w:r>
              <w:rPr>
                <w:spacing w:val="-5"/>
                <w:sz w:val="20"/>
              </w:rPr>
              <w:t>64</w:t>
            </w:r>
          </w:p>
        </w:tc>
        <w:tc>
          <w:tcPr>
            <w:tcW w:w="1046" w:type="dxa"/>
            <w:tcBorders>
              <w:top w:val="single" w:sz="4" w:space="0" w:color="000000"/>
              <w:left w:val="single" w:sz="4" w:space="0" w:color="000000"/>
            </w:tcBorders>
          </w:tcPr>
          <w:p>
            <w:pPr>
              <w:pStyle w:val="TableParagraph"/>
              <w:spacing w:before="26"/>
              <w:ind w:right="232"/>
              <w:jc w:val="right"/>
              <w:rPr>
                <w:sz w:val="20"/>
              </w:rPr>
            </w:pPr>
            <w:r>
              <w:rPr>
                <w:spacing w:val="-2"/>
                <w:sz w:val="20"/>
              </w:rPr>
              <w:t>1.580</w:t>
            </w:r>
          </w:p>
        </w:tc>
        <w:tc>
          <w:tcPr>
            <w:tcW w:w="920" w:type="dxa"/>
            <w:tcBorders>
              <w:top w:val="single" w:sz="4" w:space="0" w:color="000000"/>
            </w:tcBorders>
          </w:tcPr>
          <w:p>
            <w:pPr>
              <w:pStyle w:val="TableParagraph"/>
              <w:spacing w:before="26"/>
              <w:ind w:right="233"/>
              <w:jc w:val="right"/>
              <w:rPr>
                <w:sz w:val="20"/>
              </w:rPr>
            </w:pPr>
            <w:r>
              <w:rPr>
                <w:spacing w:val="-2"/>
                <w:sz w:val="20"/>
              </w:rPr>
              <w:t>1.545</w:t>
            </w:r>
          </w:p>
        </w:tc>
        <w:tc>
          <w:tcPr>
            <w:tcW w:w="920" w:type="dxa"/>
            <w:tcBorders>
              <w:top w:val="single" w:sz="4" w:space="0" w:color="000000"/>
            </w:tcBorders>
          </w:tcPr>
          <w:p>
            <w:pPr>
              <w:pStyle w:val="TableParagraph"/>
              <w:spacing w:before="26"/>
              <w:ind w:right="231"/>
              <w:jc w:val="right"/>
              <w:rPr>
                <w:sz w:val="20"/>
              </w:rPr>
            </w:pPr>
            <w:r>
              <w:rPr>
                <w:spacing w:val="-2"/>
                <w:sz w:val="20"/>
              </w:rPr>
              <w:t>1.517</w:t>
            </w:r>
          </w:p>
        </w:tc>
        <w:tc>
          <w:tcPr>
            <w:tcW w:w="919" w:type="dxa"/>
            <w:tcBorders>
              <w:top w:val="single" w:sz="4" w:space="0" w:color="000000"/>
            </w:tcBorders>
          </w:tcPr>
          <w:p>
            <w:pPr>
              <w:pStyle w:val="TableParagraph"/>
              <w:spacing w:before="26"/>
              <w:ind w:right="231"/>
              <w:jc w:val="right"/>
              <w:rPr>
                <w:sz w:val="20"/>
              </w:rPr>
            </w:pPr>
            <w:r>
              <w:rPr>
                <w:spacing w:val="-2"/>
                <w:sz w:val="20"/>
              </w:rPr>
              <w:t>1.488</w:t>
            </w:r>
          </w:p>
        </w:tc>
        <w:tc>
          <w:tcPr>
            <w:tcW w:w="794" w:type="dxa"/>
            <w:tcBorders>
              <w:top w:val="single" w:sz="4" w:space="0" w:color="000000"/>
              <w:right w:val="single" w:sz="4" w:space="0" w:color="000000"/>
            </w:tcBorders>
          </w:tcPr>
          <w:p>
            <w:pPr>
              <w:pStyle w:val="TableParagraph"/>
              <w:spacing w:before="26"/>
              <w:ind w:right="100"/>
              <w:jc w:val="right"/>
              <w:rPr>
                <w:sz w:val="20"/>
              </w:rPr>
            </w:pPr>
            <w:r>
              <w:rPr>
                <w:spacing w:val="-2"/>
                <w:sz w:val="20"/>
              </w:rPr>
              <w:t>1.452</w:t>
            </w:r>
          </w:p>
        </w:tc>
        <w:tc>
          <w:tcPr>
            <w:tcW w:w="1118" w:type="dxa"/>
            <w:tcBorders>
              <w:top w:val="single" w:sz="4" w:space="0" w:color="000000"/>
              <w:left w:val="single" w:sz="4" w:space="0" w:color="000000"/>
            </w:tcBorders>
          </w:tcPr>
          <w:p>
            <w:pPr>
              <w:pStyle w:val="TableParagraph"/>
              <w:spacing w:before="26"/>
              <w:ind w:left="5" w:right="2"/>
              <w:jc w:val="center"/>
              <w:rPr>
                <w:sz w:val="20"/>
              </w:rPr>
            </w:pPr>
            <w:r>
              <w:rPr>
                <w:spacing w:val="-4"/>
                <w:sz w:val="20"/>
              </w:rPr>
              <w:t>-</w:t>
            </w:r>
            <w:r>
              <w:rPr>
                <w:spacing w:val="-5"/>
                <w:sz w:val="20"/>
              </w:rPr>
              <w:t>128</w:t>
            </w:r>
          </w:p>
        </w:tc>
      </w:tr>
      <w:tr>
        <w:trPr>
          <w:trHeight w:val="300" w:hRule="atLeast"/>
        </w:trPr>
        <w:tc>
          <w:tcPr>
            <w:tcW w:w="3315" w:type="dxa"/>
            <w:tcBorders>
              <w:right w:val="single" w:sz="4" w:space="0" w:color="000000"/>
            </w:tcBorders>
          </w:tcPr>
          <w:p>
            <w:pPr>
              <w:pStyle w:val="TableParagraph"/>
              <w:spacing w:before="30"/>
              <w:ind w:left="424"/>
              <w:rPr>
                <w:sz w:val="20"/>
              </w:rPr>
            </w:pPr>
            <w:r>
              <w:rPr>
                <w:sz w:val="20"/>
              </w:rPr>
              <w:t>Активно</w:t>
            </w:r>
            <w:r>
              <w:rPr>
                <w:spacing w:val="-13"/>
                <w:sz w:val="20"/>
              </w:rPr>
              <w:t> </w:t>
            </w:r>
            <w:r>
              <w:rPr>
                <w:spacing w:val="-2"/>
                <w:sz w:val="20"/>
              </w:rPr>
              <w:t>становништво</w:t>
            </w:r>
          </w:p>
        </w:tc>
        <w:tc>
          <w:tcPr>
            <w:tcW w:w="1046" w:type="dxa"/>
            <w:tcBorders>
              <w:left w:val="single" w:sz="4" w:space="0" w:color="000000"/>
            </w:tcBorders>
          </w:tcPr>
          <w:p>
            <w:pPr>
              <w:pStyle w:val="TableParagraph"/>
              <w:spacing w:before="30"/>
              <w:ind w:right="230"/>
              <w:jc w:val="right"/>
              <w:rPr>
                <w:sz w:val="20"/>
              </w:rPr>
            </w:pPr>
            <w:r>
              <w:rPr>
                <w:spacing w:val="-5"/>
                <w:sz w:val="20"/>
              </w:rPr>
              <w:t>829</w:t>
            </w:r>
          </w:p>
        </w:tc>
        <w:tc>
          <w:tcPr>
            <w:tcW w:w="920" w:type="dxa"/>
          </w:tcPr>
          <w:p>
            <w:pPr>
              <w:pStyle w:val="TableParagraph"/>
              <w:spacing w:before="30"/>
              <w:ind w:right="231"/>
              <w:jc w:val="right"/>
              <w:rPr>
                <w:sz w:val="20"/>
              </w:rPr>
            </w:pPr>
            <w:r>
              <w:rPr>
                <w:spacing w:val="-5"/>
                <w:sz w:val="20"/>
              </w:rPr>
              <w:t>867</w:t>
            </w:r>
          </w:p>
        </w:tc>
        <w:tc>
          <w:tcPr>
            <w:tcW w:w="920" w:type="dxa"/>
          </w:tcPr>
          <w:p>
            <w:pPr>
              <w:pStyle w:val="TableParagraph"/>
              <w:spacing w:before="30"/>
              <w:ind w:right="229"/>
              <w:jc w:val="right"/>
              <w:rPr>
                <w:sz w:val="20"/>
              </w:rPr>
            </w:pPr>
            <w:r>
              <w:rPr>
                <w:spacing w:val="-5"/>
                <w:sz w:val="20"/>
              </w:rPr>
              <w:t>877</w:t>
            </w:r>
          </w:p>
        </w:tc>
        <w:tc>
          <w:tcPr>
            <w:tcW w:w="919" w:type="dxa"/>
          </w:tcPr>
          <w:p>
            <w:pPr>
              <w:pStyle w:val="TableParagraph"/>
              <w:spacing w:before="30"/>
              <w:ind w:right="229"/>
              <w:jc w:val="right"/>
              <w:rPr>
                <w:sz w:val="20"/>
              </w:rPr>
            </w:pPr>
            <w:r>
              <w:rPr>
                <w:spacing w:val="-5"/>
                <w:sz w:val="20"/>
              </w:rPr>
              <w:t>878</w:t>
            </w:r>
          </w:p>
        </w:tc>
        <w:tc>
          <w:tcPr>
            <w:tcW w:w="794" w:type="dxa"/>
            <w:tcBorders>
              <w:right w:val="single" w:sz="4" w:space="0" w:color="000000"/>
            </w:tcBorders>
          </w:tcPr>
          <w:p>
            <w:pPr>
              <w:pStyle w:val="TableParagraph"/>
              <w:spacing w:before="30"/>
              <w:ind w:right="98"/>
              <w:jc w:val="right"/>
              <w:rPr>
                <w:sz w:val="20"/>
              </w:rPr>
            </w:pPr>
            <w:r>
              <w:rPr>
                <w:spacing w:val="-5"/>
                <w:sz w:val="20"/>
              </w:rPr>
              <w:t>888</w:t>
            </w:r>
          </w:p>
        </w:tc>
        <w:tc>
          <w:tcPr>
            <w:tcW w:w="1118" w:type="dxa"/>
            <w:tcBorders>
              <w:left w:val="single" w:sz="4" w:space="0" w:color="000000"/>
            </w:tcBorders>
          </w:tcPr>
          <w:p>
            <w:pPr>
              <w:pStyle w:val="TableParagraph"/>
              <w:spacing w:before="30"/>
              <w:ind w:left="5"/>
              <w:jc w:val="center"/>
              <w:rPr>
                <w:sz w:val="20"/>
              </w:rPr>
            </w:pPr>
            <w:r>
              <w:rPr>
                <w:spacing w:val="-5"/>
                <w:sz w:val="20"/>
              </w:rPr>
              <w:t>59</w:t>
            </w:r>
          </w:p>
        </w:tc>
      </w:tr>
      <w:tr>
        <w:trPr>
          <w:trHeight w:val="300" w:hRule="atLeast"/>
        </w:trPr>
        <w:tc>
          <w:tcPr>
            <w:tcW w:w="3315" w:type="dxa"/>
            <w:tcBorders>
              <w:right w:val="single" w:sz="4" w:space="0" w:color="000000"/>
            </w:tcBorders>
          </w:tcPr>
          <w:p>
            <w:pPr>
              <w:pStyle w:val="TableParagraph"/>
              <w:spacing w:before="30"/>
              <w:ind w:left="674"/>
              <w:rPr>
                <w:sz w:val="20"/>
              </w:rPr>
            </w:pPr>
            <w:r>
              <w:rPr>
                <w:spacing w:val="-2"/>
                <w:sz w:val="20"/>
              </w:rPr>
              <w:t>Запослени</w:t>
            </w:r>
          </w:p>
        </w:tc>
        <w:tc>
          <w:tcPr>
            <w:tcW w:w="1046" w:type="dxa"/>
            <w:tcBorders>
              <w:left w:val="single" w:sz="4" w:space="0" w:color="000000"/>
            </w:tcBorders>
          </w:tcPr>
          <w:p>
            <w:pPr>
              <w:pStyle w:val="TableParagraph"/>
              <w:spacing w:before="30"/>
              <w:ind w:right="230"/>
              <w:jc w:val="right"/>
              <w:rPr>
                <w:sz w:val="20"/>
              </w:rPr>
            </w:pPr>
            <w:r>
              <w:rPr>
                <w:spacing w:val="-5"/>
                <w:sz w:val="20"/>
              </w:rPr>
              <w:t>730</w:t>
            </w:r>
          </w:p>
        </w:tc>
        <w:tc>
          <w:tcPr>
            <w:tcW w:w="920" w:type="dxa"/>
          </w:tcPr>
          <w:p>
            <w:pPr>
              <w:pStyle w:val="TableParagraph"/>
              <w:spacing w:before="30"/>
              <w:ind w:right="231"/>
              <w:jc w:val="right"/>
              <w:rPr>
                <w:sz w:val="20"/>
              </w:rPr>
            </w:pPr>
            <w:r>
              <w:rPr>
                <w:spacing w:val="-5"/>
                <w:sz w:val="20"/>
              </w:rPr>
              <w:t>781</w:t>
            </w:r>
          </w:p>
        </w:tc>
        <w:tc>
          <w:tcPr>
            <w:tcW w:w="920" w:type="dxa"/>
          </w:tcPr>
          <w:p>
            <w:pPr>
              <w:pStyle w:val="TableParagraph"/>
              <w:spacing w:before="30"/>
              <w:ind w:right="229"/>
              <w:jc w:val="right"/>
              <w:rPr>
                <w:sz w:val="20"/>
              </w:rPr>
            </w:pPr>
            <w:r>
              <w:rPr>
                <w:spacing w:val="-5"/>
                <w:sz w:val="20"/>
              </w:rPr>
              <w:t>799</w:t>
            </w:r>
          </w:p>
        </w:tc>
        <w:tc>
          <w:tcPr>
            <w:tcW w:w="919" w:type="dxa"/>
          </w:tcPr>
          <w:p>
            <w:pPr>
              <w:pStyle w:val="TableParagraph"/>
              <w:spacing w:before="30"/>
              <w:ind w:right="229"/>
              <w:jc w:val="right"/>
              <w:rPr>
                <w:sz w:val="20"/>
              </w:rPr>
            </w:pPr>
            <w:r>
              <w:rPr>
                <w:spacing w:val="-5"/>
                <w:sz w:val="20"/>
              </w:rPr>
              <w:t>799</w:t>
            </w:r>
          </w:p>
        </w:tc>
        <w:tc>
          <w:tcPr>
            <w:tcW w:w="794" w:type="dxa"/>
            <w:tcBorders>
              <w:right w:val="single" w:sz="4" w:space="0" w:color="000000"/>
            </w:tcBorders>
          </w:tcPr>
          <w:p>
            <w:pPr>
              <w:pStyle w:val="TableParagraph"/>
              <w:spacing w:before="30"/>
              <w:ind w:right="98"/>
              <w:jc w:val="right"/>
              <w:rPr>
                <w:sz w:val="20"/>
              </w:rPr>
            </w:pPr>
            <w:r>
              <w:rPr>
                <w:spacing w:val="-5"/>
                <w:sz w:val="20"/>
              </w:rPr>
              <w:t>826</w:t>
            </w:r>
          </w:p>
        </w:tc>
        <w:tc>
          <w:tcPr>
            <w:tcW w:w="1118" w:type="dxa"/>
            <w:tcBorders>
              <w:left w:val="single" w:sz="4" w:space="0" w:color="000000"/>
            </w:tcBorders>
          </w:tcPr>
          <w:p>
            <w:pPr>
              <w:pStyle w:val="TableParagraph"/>
              <w:spacing w:before="30"/>
              <w:ind w:left="5"/>
              <w:jc w:val="center"/>
              <w:rPr>
                <w:sz w:val="20"/>
              </w:rPr>
            </w:pPr>
            <w:r>
              <w:rPr>
                <w:spacing w:val="-5"/>
                <w:sz w:val="20"/>
              </w:rPr>
              <w:t>96</w:t>
            </w:r>
          </w:p>
        </w:tc>
      </w:tr>
      <w:tr>
        <w:trPr>
          <w:trHeight w:val="300" w:hRule="atLeast"/>
        </w:trPr>
        <w:tc>
          <w:tcPr>
            <w:tcW w:w="3315" w:type="dxa"/>
            <w:tcBorders>
              <w:right w:val="single" w:sz="4" w:space="0" w:color="000000"/>
            </w:tcBorders>
          </w:tcPr>
          <w:p>
            <w:pPr>
              <w:pStyle w:val="TableParagraph"/>
              <w:spacing w:before="30"/>
              <w:ind w:left="674"/>
              <w:rPr>
                <w:sz w:val="20"/>
              </w:rPr>
            </w:pPr>
            <w:r>
              <w:rPr>
                <w:spacing w:val="-2"/>
                <w:sz w:val="20"/>
              </w:rPr>
              <w:t>Незапослени</w:t>
            </w:r>
          </w:p>
        </w:tc>
        <w:tc>
          <w:tcPr>
            <w:tcW w:w="1046" w:type="dxa"/>
            <w:tcBorders>
              <w:left w:val="single" w:sz="4" w:space="0" w:color="000000"/>
            </w:tcBorders>
          </w:tcPr>
          <w:p>
            <w:pPr>
              <w:pStyle w:val="TableParagraph"/>
              <w:spacing w:before="30"/>
              <w:ind w:right="230"/>
              <w:jc w:val="right"/>
              <w:rPr>
                <w:sz w:val="20"/>
              </w:rPr>
            </w:pPr>
            <w:r>
              <w:rPr>
                <w:spacing w:val="-5"/>
                <w:sz w:val="20"/>
              </w:rPr>
              <w:t>99</w:t>
            </w:r>
          </w:p>
        </w:tc>
        <w:tc>
          <w:tcPr>
            <w:tcW w:w="920" w:type="dxa"/>
          </w:tcPr>
          <w:p>
            <w:pPr>
              <w:pStyle w:val="TableParagraph"/>
              <w:spacing w:before="30"/>
              <w:ind w:right="231"/>
              <w:jc w:val="right"/>
              <w:rPr>
                <w:sz w:val="20"/>
              </w:rPr>
            </w:pPr>
            <w:r>
              <w:rPr>
                <w:spacing w:val="-5"/>
                <w:sz w:val="20"/>
              </w:rPr>
              <w:t>86</w:t>
            </w:r>
          </w:p>
        </w:tc>
        <w:tc>
          <w:tcPr>
            <w:tcW w:w="920" w:type="dxa"/>
          </w:tcPr>
          <w:p>
            <w:pPr>
              <w:pStyle w:val="TableParagraph"/>
              <w:spacing w:before="30"/>
              <w:ind w:right="229"/>
              <w:jc w:val="right"/>
              <w:rPr>
                <w:sz w:val="20"/>
              </w:rPr>
            </w:pPr>
            <w:r>
              <w:rPr>
                <w:spacing w:val="-5"/>
                <w:sz w:val="20"/>
              </w:rPr>
              <w:t>78</w:t>
            </w:r>
          </w:p>
        </w:tc>
        <w:tc>
          <w:tcPr>
            <w:tcW w:w="919" w:type="dxa"/>
          </w:tcPr>
          <w:p>
            <w:pPr>
              <w:pStyle w:val="TableParagraph"/>
              <w:spacing w:before="30"/>
              <w:ind w:right="229"/>
              <w:jc w:val="right"/>
              <w:rPr>
                <w:sz w:val="20"/>
              </w:rPr>
            </w:pPr>
            <w:r>
              <w:rPr>
                <w:spacing w:val="-5"/>
                <w:sz w:val="20"/>
              </w:rPr>
              <w:t>79</w:t>
            </w:r>
          </w:p>
        </w:tc>
        <w:tc>
          <w:tcPr>
            <w:tcW w:w="794" w:type="dxa"/>
            <w:tcBorders>
              <w:right w:val="single" w:sz="4" w:space="0" w:color="000000"/>
            </w:tcBorders>
          </w:tcPr>
          <w:p>
            <w:pPr>
              <w:pStyle w:val="TableParagraph"/>
              <w:spacing w:before="30"/>
              <w:ind w:right="98"/>
              <w:jc w:val="right"/>
              <w:rPr>
                <w:sz w:val="20"/>
              </w:rPr>
            </w:pPr>
            <w:r>
              <w:rPr>
                <w:spacing w:val="-5"/>
                <w:sz w:val="20"/>
              </w:rPr>
              <w:t>61</w:t>
            </w:r>
          </w:p>
        </w:tc>
        <w:tc>
          <w:tcPr>
            <w:tcW w:w="1118" w:type="dxa"/>
            <w:tcBorders>
              <w:left w:val="single" w:sz="4" w:space="0" w:color="000000"/>
            </w:tcBorders>
          </w:tcPr>
          <w:p>
            <w:pPr>
              <w:pStyle w:val="TableParagraph"/>
              <w:spacing w:before="30"/>
              <w:ind w:left="5" w:right="2"/>
              <w:jc w:val="center"/>
              <w:rPr>
                <w:sz w:val="20"/>
              </w:rPr>
            </w:pPr>
            <w:r>
              <w:rPr>
                <w:spacing w:val="-4"/>
                <w:sz w:val="20"/>
              </w:rPr>
              <w:t>-</w:t>
            </w:r>
            <w:r>
              <w:rPr>
                <w:spacing w:val="-5"/>
                <w:sz w:val="20"/>
              </w:rPr>
              <w:t>38</w:t>
            </w:r>
          </w:p>
        </w:tc>
      </w:tr>
      <w:tr>
        <w:trPr>
          <w:trHeight w:val="303" w:hRule="atLeast"/>
        </w:trPr>
        <w:tc>
          <w:tcPr>
            <w:tcW w:w="3315" w:type="dxa"/>
            <w:tcBorders>
              <w:bottom w:val="single" w:sz="4" w:space="0" w:color="000000"/>
              <w:right w:val="single" w:sz="4" w:space="0" w:color="000000"/>
            </w:tcBorders>
          </w:tcPr>
          <w:p>
            <w:pPr>
              <w:pStyle w:val="TableParagraph"/>
              <w:spacing w:before="30"/>
              <w:ind w:left="424"/>
              <w:rPr>
                <w:sz w:val="20"/>
              </w:rPr>
            </w:pPr>
            <w:r>
              <w:rPr>
                <w:spacing w:val="-2"/>
                <w:sz w:val="20"/>
              </w:rPr>
              <w:t>Неактивно</w:t>
            </w:r>
            <w:r>
              <w:rPr>
                <w:spacing w:val="4"/>
                <w:sz w:val="20"/>
              </w:rPr>
              <w:t> </w:t>
            </w:r>
            <w:r>
              <w:rPr>
                <w:spacing w:val="-2"/>
                <w:sz w:val="20"/>
              </w:rPr>
              <w:t>становништво</w:t>
            </w:r>
          </w:p>
        </w:tc>
        <w:tc>
          <w:tcPr>
            <w:tcW w:w="1046" w:type="dxa"/>
            <w:tcBorders>
              <w:left w:val="single" w:sz="4" w:space="0" w:color="000000"/>
              <w:bottom w:val="single" w:sz="4" w:space="0" w:color="000000"/>
            </w:tcBorders>
          </w:tcPr>
          <w:p>
            <w:pPr>
              <w:pStyle w:val="TableParagraph"/>
              <w:spacing w:before="30"/>
              <w:ind w:right="230"/>
              <w:jc w:val="right"/>
              <w:rPr>
                <w:sz w:val="20"/>
              </w:rPr>
            </w:pPr>
            <w:r>
              <w:rPr>
                <w:spacing w:val="-5"/>
                <w:sz w:val="20"/>
              </w:rPr>
              <w:t>751</w:t>
            </w:r>
          </w:p>
        </w:tc>
        <w:tc>
          <w:tcPr>
            <w:tcW w:w="920" w:type="dxa"/>
            <w:tcBorders>
              <w:bottom w:val="single" w:sz="4" w:space="0" w:color="000000"/>
            </w:tcBorders>
          </w:tcPr>
          <w:p>
            <w:pPr>
              <w:pStyle w:val="TableParagraph"/>
              <w:spacing w:before="30"/>
              <w:ind w:right="231"/>
              <w:jc w:val="right"/>
              <w:rPr>
                <w:sz w:val="20"/>
              </w:rPr>
            </w:pPr>
            <w:r>
              <w:rPr>
                <w:spacing w:val="-5"/>
                <w:sz w:val="20"/>
              </w:rPr>
              <w:t>678</w:t>
            </w:r>
          </w:p>
        </w:tc>
        <w:tc>
          <w:tcPr>
            <w:tcW w:w="920" w:type="dxa"/>
            <w:tcBorders>
              <w:bottom w:val="single" w:sz="4" w:space="0" w:color="000000"/>
            </w:tcBorders>
          </w:tcPr>
          <w:p>
            <w:pPr>
              <w:pStyle w:val="TableParagraph"/>
              <w:spacing w:before="30"/>
              <w:ind w:right="229"/>
              <w:jc w:val="right"/>
              <w:rPr>
                <w:sz w:val="20"/>
              </w:rPr>
            </w:pPr>
            <w:r>
              <w:rPr>
                <w:spacing w:val="-5"/>
                <w:sz w:val="20"/>
              </w:rPr>
              <w:t>640</w:t>
            </w:r>
          </w:p>
        </w:tc>
        <w:tc>
          <w:tcPr>
            <w:tcW w:w="919" w:type="dxa"/>
            <w:tcBorders>
              <w:bottom w:val="single" w:sz="4" w:space="0" w:color="000000"/>
            </w:tcBorders>
          </w:tcPr>
          <w:p>
            <w:pPr>
              <w:pStyle w:val="TableParagraph"/>
              <w:spacing w:before="30"/>
              <w:ind w:right="229"/>
              <w:jc w:val="right"/>
              <w:rPr>
                <w:sz w:val="20"/>
              </w:rPr>
            </w:pPr>
            <w:r>
              <w:rPr>
                <w:spacing w:val="-5"/>
                <w:sz w:val="20"/>
              </w:rPr>
              <w:t>610</w:t>
            </w:r>
          </w:p>
        </w:tc>
        <w:tc>
          <w:tcPr>
            <w:tcW w:w="794" w:type="dxa"/>
            <w:tcBorders>
              <w:bottom w:val="single" w:sz="4" w:space="0" w:color="000000"/>
              <w:right w:val="single" w:sz="4" w:space="0" w:color="000000"/>
            </w:tcBorders>
          </w:tcPr>
          <w:p>
            <w:pPr>
              <w:pStyle w:val="TableParagraph"/>
              <w:spacing w:before="30"/>
              <w:ind w:right="98"/>
              <w:jc w:val="right"/>
              <w:rPr>
                <w:sz w:val="20"/>
              </w:rPr>
            </w:pPr>
            <w:r>
              <w:rPr>
                <w:spacing w:val="-5"/>
                <w:sz w:val="20"/>
              </w:rPr>
              <w:t>564</w:t>
            </w:r>
          </w:p>
        </w:tc>
        <w:tc>
          <w:tcPr>
            <w:tcW w:w="1118" w:type="dxa"/>
            <w:tcBorders>
              <w:left w:val="single" w:sz="4" w:space="0" w:color="000000"/>
              <w:bottom w:val="single" w:sz="4" w:space="0" w:color="000000"/>
            </w:tcBorders>
          </w:tcPr>
          <w:p>
            <w:pPr>
              <w:pStyle w:val="TableParagraph"/>
              <w:spacing w:before="30"/>
              <w:ind w:left="5" w:right="2"/>
              <w:jc w:val="center"/>
              <w:rPr>
                <w:sz w:val="20"/>
              </w:rPr>
            </w:pPr>
            <w:r>
              <w:rPr>
                <w:spacing w:val="-4"/>
                <w:sz w:val="20"/>
              </w:rPr>
              <w:t>-</w:t>
            </w:r>
            <w:r>
              <w:rPr>
                <w:spacing w:val="-5"/>
                <w:sz w:val="20"/>
              </w:rPr>
              <w:t>187</w:t>
            </w:r>
          </w:p>
        </w:tc>
      </w:tr>
      <w:tr>
        <w:trPr>
          <w:trHeight w:val="367" w:hRule="atLeast"/>
        </w:trPr>
        <w:tc>
          <w:tcPr>
            <w:tcW w:w="3315" w:type="dxa"/>
            <w:tcBorders>
              <w:top w:val="single" w:sz="4" w:space="0" w:color="000000"/>
              <w:bottom w:val="single" w:sz="4" w:space="0" w:color="000000"/>
              <w:right w:val="single" w:sz="4" w:space="0" w:color="000000"/>
            </w:tcBorders>
          </w:tcPr>
          <w:p>
            <w:pPr>
              <w:pStyle w:val="TableParagraph"/>
              <w:rPr>
                <w:sz w:val="22"/>
              </w:rPr>
            </w:pPr>
          </w:p>
        </w:tc>
        <w:tc>
          <w:tcPr>
            <w:tcW w:w="459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74"/>
              <w:jc w:val="center"/>
              <w:rPr>
                <w:sz w:val="18"/>
              </w:rPr>
            </w:pPr>
            <w:r>
              <w:rPr>
                <w:sz w:val="18"/>
              </w:rPr>
              <w:t>Стопе,</w:t>
            </w:r>
            <w:r>
              <w:rPr>
                <w:spacing w:val="-1"/>
                <w:sz w:val="18"/>
              </w:rPr>
              <w:t> </w:t>
            </w:r>
            <w:r>
              <w:rPr>
                <w:sz w:val="18"/>
              </w:rPr>
              <w:t>у</w:t>
            </w:r>
            <w:r>
              <w:rPr>
                <w:spacing w:val="-4"/>
                <w:sz w:val="18"/>
              </w:rPr>
              <w:t> </w:t>
            </w:r>
            <w:r>
              <w:rPr>
                <w:spacing w:val="-10"/>
                <w:sz w:val="18"/>
              </w:rPr>
              <w:t>%</w:t>
            </w:r>
          </w:p>
        </w:tc>
        <w:tc>
          <w:tcPr>
            <w:tcW w:w="1118" w:type="dxa"/>
            <w:tcBorders>
              <w:top w:val="single" w:sz="4" w:space="0" w:color="000000"/>
              <w:left w:val="single" w:sz="4" w:space="0" w:color="000000"/>
              <w:bottom w:val="single" w:sz="4" w:space="0" w:color="000000"/>
            </w:tcBorders>
          </w:tcPr>
          <w:p>
            <w:pPr>
              <w:pStyle w:val="TableParagraph"/>
              <w:spacing w:line="179" w:lineRule="exact"/>
              <w:ind w:left="5" w:right="4"/>
              <w:jc w:val="center"/>
              <w:rPr>
                <w:sz w:val="16"/>
              </w:rPr>
            </w:pPr>
            <w:r>
              <w:rPr>
                <w:spacing w:val="-2"/>
                <w:sz w:val="16"/>
              </w:rPr>
              <w:t>процентни</w:t>
            </w:r>
          </w:p>
          <w:p>
            <w:pPr>
              <w:pStyle w:val="TableParagraph"/>
              <w:spacing w:line="168" w:lineRule="exact" w:before="1"/>
              <w:ind w:left="5" w:right="5"/>
              <w:jc w:val="center"/>
              <w:rPr>
                <w:sz w:val="16"/>
              </w:rPr>
            </w:pPr>
            <w:r>
              <w:rPr>
                <w:spacing w:val="-4"/>
                <w:sz w:val="16"/>
              </w:rPr>
              <w:t>поен</w:t>
            </w:r>
          </w:p>
        </w:tc>
      </w:tr>
      <w:tr>
        <w:trPr>
          <w:trHeight w:val="298" w:hRule="atLeast"/>
        </w:trPr>
        <w:tc>
          <w:tcPr>
            <w:tcW w:w="3315" w:type="dxa"/>
            <w:tcBorders>
              <w:top w:val="single" w:sz="4" w:space="0" w:color="000000"/>
              <w:right w:val="single" w:sz="4" w:space="0" w:color="000000"/>
            </w:tcBorders>
          </w:tcPr>
          <w:p>
            <w:pPr>
              <w:pStyle w:val="TableParagraph"/>
              <w:spacing w:before="29"/>
              <w:ind w:left="122"/>
              <w:rPr>
                <w:sz w:val="20"/>
              </w:rPr>
            </w:pPr>
            <w:r>
              <w:rPr>
                <w:sz w:val="20"/>
              </w:rPr>
              <w:t>Стопа</w:t>
            </w:r>
            <w:r>
              <w:rPr>
                <w:spacing w:val="-9"/>
                <w:sz w:val="20"/>
              </w:rPr>
              <w:t> </w:t>
            </w:r>
            <w:r>
              <w:rPr>
                <w:spacing w:val="-2"/>
                <w:sz w:val="20"/>
              </w:rPr>
              <w:t>активности</w:t>
            </w:r>
          </w:p>
        </w:tc>
        <w:tc>
          <w:tcPr>
            <w:tcW w:w="1046" w:type="dxa"/>
            <w:tcBorders>
              <w:top w:val="single" w:sz="4" w:space="0" w:color="000000"/>
              <w:left w:val="single" w:sz="4" w:space="0" w:color="000000"/>
            </w:tcBorders>
          </w:tcPr>
          <w:p>
            <w:pPr>
              <w:pStyle w:val="TableParagraph"/>
              <w:spacing w:before="29"/>
              <w:ind w:right="232"/>
              <w:jc w:val="right"/>
              <w:rPr>
                <w:sz w:val="20"/>
              </w:rPr>
            </w:pPr>
            <w:r>
              <w:rPr>
                <w:spacing w:val="-4"/>
                <w:sz w:val="20"/>
              </w:rPr>
              <w:t>52,4</w:t>
            </w:r>
          </w:p>
        </w:tc>
        <w:tc>
          <w:tcPr>
            <w:tcW w:w="920" w:type="dxa"/>
            <w:tcBorders>
              <w:top w:val="single" w:sz="4" w:space="0" w:color="000000"/>
            </w:tcBorders>
          </w:tcPr>
          <w:p>
            <w:pPr>
              <w:pStyle w:val="TableParagraph"/>
              <w:spacing w:before="29"/>
              <w:ind w:right="233"/>
              <w:jc w:val="right"/>
              <w:rPr>
                <w:sz w:val="20"/>
              </w:rPr>
            </w:pPr>
            <w:r>
              <w:rPr>
                <w:spacing w:val="-4"/>
                <w:sz w:val="20"/>
              </w:rPr>
              <w:t>56,1</w:t>
            </w:r>
          </w:p>
        </w:tc>
        <w:tc>
          <w:tcPr>
            <w:tcW w:w="920" w:type="dxa"/>
            <w:tcBorders>
              <w:top w:val="single" w:sz="4" w:space="0" w:color="000000"/>
            </w:tcBorders>
          </w:tcPr>
          <w:p>
            <w:pPr>
              <w:pStyle w:val="TableParagraph"/>
              <w:spacing w:before="29"/>
              <w:ind w:right="231"/>
              <w:jc w:val="right"/>
              <w:rPr>
                <w:sz w:val="20"/>
              </w:rPr>
            </w:pPr>
            <w:r>
              <w:rPr>
                <w:spacing w:val="-4"/>
                <w:sz w:val="20"/>
              </w:rPr>
              <w:t>57,8</w:t>
            </w:r>
          </w:p>
        </w:tc>
        <w:tc>
          <w:tcPr>
            <w:tcW w:w="919" w:type="dxa"/>
            <w:tcBorders>
              <w:top w:val="single" w:sz="4" w:space="0" w:color="000000"/>
            </w:tcBorders>
          </w:tcPr>
          <w:p>
            <w:pPr>
              <w:pStyle w:val="TableParagraph"/>
              <w:spacing w:before="29"/>
              <w:ind w:right="230"/>
              <w:jc w:val="right"/>
              <w:rPr>
                <w:sz w:val="20"/>
              </w:rPr>
            </w:pPr>
            <w:r>
              <w:rPr>
                <w:spacing w:val="-4"/>
                <w:sz w:val="20"/>
              </w:rPr>
              <w:t>59,0</w:t>
            </w:r>
          </w:p>
        </w:tc>
        <w:tc>
          <w:tcPr>
            <w:tcW w:w="794" w:type="dxa"/>
            <w:tcBorders>
              <w:top w:val="single" w:sz="4" w:space="0" w:color="000000"/>
              <w:right w:val="single" w:sz="4" w:space="0" w:color="000000"/>
            </w:tcBorders>
          </w:tcPr>
          <w:p>
            <w:pPr>
              <w:pStyle w:val="TableParagraph"/>
              <w:spacing w:before="29"/>
              <w:ind w:right="100"/>
              <w:jc w:val="right"/>
              <w:rPr>
                <w:sz w:val="20"/>
              </w:rPr>
            </w:pPr>
            <w:r>
              <w:rPr>
                <w:spacing w:val="-4"/>
                <w:sz w:val="20"/>
              </w:rPr>
              <w:t>61,1</w:t>
            </w:r>
          </w:p>
        </w:tc>
        <w:tc>
          <w:tcPr>
            <w:tcW w:w="1118" w:type="dxa"/>
            <w:tcBorders>
              <w:top w:val="single" w:sz="4" w:space="0" w:color="000000"/>
              <w:left w:val="single" w:sz="4" w:space="0" w:color="000000"/>
            </w:tcBorders>
          </w:tcPr>
          <w:p>
            <w:pPr>
              <w:pStyle w:val="TableParagraph"/>
              <w:spacing w:before="29"/>
              <w:ind w:left="5" w:right="4"/>
              <w:jc w:val="center"/>
              <w:rPr>
                <w:sz w:val="20"/>
              </w:rPr>
            </w:pPr>
            <w:r>
              <w:rPr>
                <w:spacing w:val="-5"/>
                <w:sz w:val="20"/>
              </w:rPr>
              <w:t>8,7</w:t>
            </w:r>
          </w:p>
        </w:tc>
      </w:tr>
      <w:tr>
        <w:trPr>
          <w:trHeight w:val="300" w:hRule="atLeast"/>
        </w:trPr>
        <w:tc>
          <w:tcPr>
            <w:tcW w:w="3315" w:type="dxa"/>
            <w:tcBorders>
              <w:right w:val="single" w:sz="4" w:space="0" w:color="000000"/>
            </w:tcBorders>
          </w:tcPr>
          <w:p>
            <w:pPr>
              <w:pStyle w:val="TableParagraph"/>
              <w:spacing w:before="30"/>
              <w:ind w:left="122"/>
              <w:rPr>
                <w:sz w:val="20"/>
              </w:rPr>
            </w:pPr>
            <w:r>
              <w:rPr>
                <w:sz w:val="20"/>
              </w:rPr>
              <w:t>Стопа</w:t>
            </w:r>
            <w:r>
              <w:rPr>
                <w:spacing w:val="-9"/>
                <w:sz w:val="20"/>
              </w:rPr>
              <w:t> </w:t>
            </w:r>
            <w:r>
              <w:rPr>
                <w:spacing w:val="-2"/>
                <w:sz w:val="20"/>
              </w:rPr>
              <w:t>запослености</w:t>
            </w:r>
          </w:p>
        </w:tc>
        <w:tc>
          <w:tcPr>
            <w:tcW w:w="1046" w:type="dxa"/>
            <w:tcBorders>
              <w:left w:val="single" w:sz="4" w:space="0" w:color="000000"/>
            </w:tcBorders>
          </w:tcPr>
          <w:p>
            <w:pPr>
              <w:pStyle w:val="TableParagraph"/>
              <w:spacing w:before="30"/>
              <w:ind w:right="232"/>
              <w:jc w:val="right"/>
              <w:rPr>
                <w:sz w:val="20"/>
              </w:rPr>
            </w:pPr>
            <w:r>
              <w:rPr>
                <w:spacing w:val="-4"/>
                <w:sz w:val="20"/>
              </w:rPr>
              <w:t>46,2</w:t>
            </w:r>
          </w:p>
        </w:tc>
        <w:tc>
          <w:tcPr>
            <w:tcW w:w="920" w:type="dxa"/>
          </w:tcPr>
          <w:p>
            <w:pPr>
              <w:pStyle w:val="TableParagraph"/>
              <w:spacing w:before="30"/>
              <w:ind w:right="233"/>
              <w:jc w:val="right"/>
              <w:rPr>
                <w:sz w:val="20"/>
              </w:rPr>
            </w:pPr>
            <w:r>
              <w:rPr>
                <w:spacing w:val="-4"/>
                <w:sz w:val="20"/>
              </w:rPr>
              <w:t>50,5</w:t>
            </w:r>
          </w:p>
        </w:tc>
        <w:tc>
          <w:tcPr>
            <w:tcW w:w="920" w:type="dxa"/>
          </w:tcPr>
          <w:p>
            <w:pPr>
              <w:pStyle w:val="TableParagraph"/>
              <w:spacing w:before="30"/>
              <w:ind w:right="231"/>
              <w:jc w:val="right"/>
              <w:rPr>
                <w:sz w:val="20"/>
              </w:rPr>
            </w:pPr>
            <w:r>
              <w:rPr>
                <w:spacing w:val="-4"/>
                <w:sz w:val="20"/>
              </w:rPr>
              <w:t>52,7</w:t>
            </w:r>
          </w:p>
        </w:tc>
        <w:tc>
          <w:tcPr>
            <w:tcW w:w="919" w:type="dxa"/>
          </w:tcPr>
          <w:p>
            <w:pPr>
              <w:pStyle w:val="TableParagraph"/>
              <w:spacing w:before="30"/>
              <w:ind w:right="230"/>
              <w:jc w:val="right"/>
              <w:rPr>
                <w:sz w:val="20"/>
              </w:rPr>
            </w:pPr>
            <w:r>
              <w:rPr>
                <w:spacing w:val="-4"/>
                <w:sz w:val="20"/>
              </w:rPr>
              <w:t>53,7</w:t>
            </w:r>
          </w:p>
        </w:tc>
        <w:tc>
          <w:tcPr>
            <w:tcW w:w="794" w:type="dxa"/>
            <w:tcBorders>
              <w:right w:val="single" w:sz="4" w:space="0" w:color="000000"/>
            </w:tcBorders>
          </w:tcPr>
          <w:p>
            <w:pPr>
              <w:pStyle w:val="TableParagraph"/>
              <w:spacing w:before="30"/>
              <w:ind w:right="100"/>
              <w:jc w:val="right"/>
              <w:rPr>
                <w:sz w:val="20"/>
              </w:rPr>
            </w:pPr>
            <w:r>
              <w:rPr>
                <w:spacing w:val="-4"/>
                <w:sz w:val="20"/>
              </w:rPr>
              <w:t>56,9</w:t>
            </w:r>
          </w:p>
        </w:tc>
        <w:tc>
          <w:tcPr>
            <w:tcW w:w="1118" w:type="dxa"/>
            <w:tcBorders>
              <w:left w:val="single" w:sz="4" w:space="0" w:color="000000"/>
            </w:tcBorders>
          </w:tcPr>
          <w:p>
            <w:pPr>
              <w:pStyle w:val="TableParagraph"/>
              <w:spacing w:before="30"/>
              <w:ind w:left="5" w:right="4"/>
              <w:jc w:val="center"/>
              <w:rPr>
                <w:sz w:val="20"/>
              </w:rPr>
            </w:pPr>
            <w:r>
              <w:rPr>
                <w:spacing w:val="-4"/>
                <w:sz w:val="20"/>
              </w:rPr>
              <w:t>10,7</w:t>
            </w:r>
          </w:p>
        </w:tc>
      </w:tr>
      <w:tr>
        <w:trPr>
          <w:trHeight w:val="300" w:hRule="atLeast"/>
        </w:trPr>
        <w:tc>
          <w:tcPr>
            <w:tcW w:w="3315" w:type="dxa"/>
            <w:tcBorders>
              <w:right w:val="single" w:sz="4" w:space="0" w:color="000000"/>
            </w:tcBorders>
          </w:tcPr>
          <w:p>
            <w:pPr>
              <w:pStyle w:val="TableParagraph"/>
              <w:spacing w:before="30"/>
              <w:ind w:left="122"/>
              <w:rPr>
                <w:sz w:val="20"/>
              </w:rPr>
            </w:pPr>
            <w:r>
              <w:rPr>
                <w:sz w:val="20"/>
              </w:rPr>
              <w:t>Стопа</w:t>
            </w:r>
            <w:r>
              <w:rPr>
                <w:spacing w:val="-6"/>
                <w:sz w:val="20"/>
              </w:rPr>
              <w:t> </w:t>
            </w:r>
            <w:r>
              <w:rPr>
                <w:spacing w:val="-2"/>
                <w:sz w:val="20"/>
              </w:rPr>
              <w:t>незапослености</w:t>
            </w:r>
          </w:p>
        </w:tc>
        <w:tc>
          <w:tcPr>
            <w:tcW w:w="1046" w:type="dxa"/>
            <w:tcBorders>
              <w:left w:val="single" w:sz="4" w:space="0" w:color="000000"/>
            </w:tcBorders>
          </w:tcPr>
          <w:p>
            <w:pPr>
              <w:pStyle w:val="TableParagraph"/>
              <w:spacing w:before="30"/>
              <w:ind w:right="232"/>
              <w:jc w:val="right"/>
              <w:rPr>
                <w:sz w:val="20"/>
              </w:rPr>
            </w:pPr>
            <w:r>
              <w:rPr>
                <w:spacing w:val="-4"/>
                <w:sz w:val="20"/>
              </w:rPr>
              <w:t>11,9</w:t>
            </w:r>
          </w:p>
        </w:tc>
        <w:tc>
          <w:tcPr>
            <w:tcW w:w="920" w:type="dxa"/>
          </w:tcPr>
          <w:p>
            <w:pPr>
              <w:pStyle w:val="TableParagraph"/>
              <w:spacing w:before="30"/>
              <w:ind w:right="232"/>
              <w:jc w:val="right"/>
              <w:rPr>
                <w:sz w:val="20"/>
              </w:rPr>
            </w:pPr>
            <w:r>
              <w:rPr>
                <w:spacing w:val="-5"/>
                <w:sz w:val="20"/>
              </w:rPr>
              <w:t>9,9</w:t>
            </w:r>
          </w:p>
        </w:tc>
        <w:tc>
          <w:tcPr>
            <w:tcW w:w="920" w:type="dxa"/>
          </w:tcPr>
          <w:p>
            <w:pPr>
              <w:pStyle w:val="TableParagraph"/>
              <w:spacing w:before="30"/>
              <w:ind w:right="230"/>
              <w:jc w:val="right"/>
              <w:rPr>
                <w:sz w:val="20"/>
              </w:rPr>
            </w:pPr>
            <w:r>
              <w:rPr>
                <w:spacing w:val="-5"/>
                <w:sz w:val="20"/>
              </w:rPr>
              <w:t>8,8</w:t>
            </w:r>
          </w:p>
        </w:tc>
        <w:tc>
          <w:tcPr>
            <w:tcW w:w="919" w:type="dxa"/>
          </w:tcPr>
          <w:p>
            <w:pPr>
              <w:pStyle w:val="TableParagraph"/>
              <w:spacing w:before="30"/>
              <w:ind w:right="230"/>
              <w:jc w:val="right"/>
              <w:rPr>
                <w:sz w:val="20"/>
              </w:rPr>
            </w:pPr>
            <w:r>
              <w:rPr>
                <w:spacing w:val="-5"/>
                <w:sz w:val="20"/>
              </w:rPr>
              <w:t>9,0</w:t>
            </w:r>
          </w:p>
        </w:tc>
        <w:tc>
          <w:tcPr>
            <w:tcW w:w="794" w:type="dxa"/>
            <w:tcBorders>
              <w:right w:val="single" w:sz="4" w:space="0" w:color="000000"/>
            </w:tcBorders>
          </w:tcPr>
          <w:p>
            <w:pPr>
              <w:pStyle w:val="TableParagraph"/>
              <w:spacing w:before="30"/>
              <w:ind w:right="100"/>
              <w:jc w:val="right"/>
              <w:rPr>
                <w:sz w:val="20"/>
              </w:rPr>
            </w:pPr>
            <w:r>
              <w:rPr>
                <w:spacing w:val="-5"/>
                <w:sz w:val="20"/>
              </w:rPr>
              <w:t>6,9</w:t>
            </w:r>
          </w:p>
        </w:tc>
        <w:tc>
          <w:tcPr>
            <w:tcW w:w="1118" w:type="dxa"/>
            <w:tcBorders>
              <w:left w:val="single" w:sz="4" w:space="0" w:color="000000"/>
            </w:tcBorders>
          </w:tcPr>
          <w:p>
            <w:pPr>
              <w:pStyle w:val="TableParagraph"/>
              <w:spacing w:before="30"/>
              <w:ind w:left="5" w:right="5"/>
              <w:jc w:val="center"/>
              <w:rPr>
                <w:sz w:val="20"/>
              </w:rPr>
            </w:pPr>
            <w:r>
              <w:rPr>
                <w:spacing w:val="-4"/>
                <w:sz w:val="20"/>
              </w:rPr>
              <w:t>-</w:t>
            </w:r>
            <w:r>
              <w:rPr>
                <w:spacing w:val="-5"/>
                <w:sz w:val="20"/>
              </w:rPr>
              <w:t>5,0</w:t>
            </w:r>
          </w:p>
        </w:tc>
      </w:tr>
      <w:tr>
        <w:trPr>
          <w:trHeight w:val="303" w:hRule="atLeast"/>
        </w:trPr>
        <w:tc>
          <w:tcPr>
            <w:tcW w:w="3315" w:type="dxa"/>
            <w:tcBorders>
              <w:bottom w:val="single" w:sz="4" w:space="0" w:color="000000"/>
              <w:right w:val="single" w:sz="4" w:space="0" w:color="000000"/>
            </w:tcBorders>
          </w:tcPr>
          <w:p>
            <w:pPr>
              <w:pStyle w:val="TableParagraph"/>
              <w:spacing w:before="30"/>
              <w:ind w:left="122"/>
              <w:rPr>
                <w:sz w:val="20"/>
              </w:rPr>
            </w:pPr>
            <w:r>
              <w:rPr>
                <w:sz w:val="20"/>
              </w:rPr>
              <w:t>Стопа</w:t>
            </w:r>
            <w:r>
              <w:rPr>
                <w:spacing w:val="-6"/>
                <w:sz w:val="20"/>
              </w:rPr>
              <w:t> </w:t>
            </w:r>
            <w:r>
              <w:rPr>
                <w:spacing w:val="-2"/>
                <w:sz w:val="20"/>
              </w:rPr>
              <w:t>неактивности</w:t>
            </w:r>
          </w:p>
        </w:tc>
        <w:tc>
          <w:tcPr>
            <w:tcW w:w="1046" w:type="dxa"/>
            <w:tcBorders>
              <w:left w:val="single" w:sz="4" w:space="0" w:color="000000"/>
              <w:bottom w:val="single" w:sz="4" w:space="0" w:color="000000"/>
            </w:tcBorders>
          </w:tcPr>
          <w:p>
            <w:pPr>
              <w:pStyle w:val="TableParagraph"/>
              <w:spacing w:before="30"/>
              <w:ind w:right="232"/>
              <w:jc w:val="right"/>
              <w:rPr>
                <w:sz w:val="20"/>
              </w:rPr>
            </w:pPr>
            <w:r>
              <w:rPr>
                <w:spacing w:val="-4"/>
                <w:sz w:val="20"/>
              </w:rPr>
              <w:t>47,6</w:t>
            </w:r>
          </w:p>
        </w:tc>
        <w:tc>
          <w:tcPr>
            <w:tcW w:w="920" w:type="dxa"/>
            <w:tcBorders>
              <w:bottom w:val="single" w:sz="4" w:space="0" w:color="000000"/>
            </w:tcBorders>
          </w:tcPr>
          <w:p>
            <w:pPr>
              <w:pStyle w:val="TableParagraph"/>
              <w:spacing w:before="30"/>
              <w:ind w:right="233"/>
              <w:jc w:val="right"/>
              <w:rPr>
                <w:sz w:val="20"/>
              </w:rPr>
            </w:pPr>
            <w:r>
              <w:rPr>
                <w:spacing w:val="-4"/>
                <w:sz w:val="20"/>
              </w:rPr>
              <w:t>43,9</w:t>
            </w:r>
          </w:p>
        </w:tc>
        <w:tc>
          <w:tcPr>
            <w:tcW w:w="920" w:type="dxa"/>
            <w:tcBorders>
              <w:bottom w:val="single" w:sz="4" w:space="0" w:color="000000"/>
            </w:tcBorders>
          </w:tcPr>
          <w:p>
            <w:pPr>
              <w:pStyle w:val="TableParagraph"/>
              <w:spacing w:before="30"/>
              <w:ind w:right="231"/>
              <w:jc w:val="right"/>
              <w:rPr>
                <w:sz w:val="20"/>
              </w:rPr>
            </w:pPr>
            <w:r>
              <w:rPr>
                <w:spacing w:val="-4"/>
                <w:sz w:val="20"/>
              </w:rPr>
              <w:t>42,2</w:t>
            </w:r>
          </w:p>
        </w:tc>
        <w:tc>
          <w:tcPr>
            <w:tcW w:w="919" w:type="dxa"/>
            <w:tcBorders>
              <w:bottom w:val="single" w:sz="4" w:space="0" w:color="000000"/>
            </w:tcBorders>
          </w:tcPr>
          <w:p>
            <w:pPr>
              <w:pStyle w:val="TableParagraph"/>
              <w:spacing w:before="30"/>
              <w:ind w:right="230"/>
              <w:jc w:val="right"/>
              <w:rPr>
                <w:sz w:val="20"/>
              </w:rPr>
            </w:pPr>
            <w:r>
              <w:rPr>
                <w:spacing w:val="-4"/>
                <w:sz w:val="20"/>
              </w:rPr>
              <w:t>41,0</w:t>
            </w:r>
          </w:p>
        </w:tc>
        <w:tc>
          <w:tcPr>
            <w:tcW w:w="794" w:type="dxa"/>
            <w:tcBorders>
              <w:bottom w:val="single" w:sz="4" w:space="0" w:color="000000"/>
              <w:right w:val="single" w:sz="4" w:space="0" w:color="000000"/>
            </w:tcBorders>
          </w:tcPr>
          <w:p>
            <w:pPr>
              <w:pStyle w:val="TableParagraph"/>
              <w:spacing w:before="30"/>
              <w:ind w:right="100"/>
              <w:jc w:val="right"/>
              <w:rPr>
                <w:sz w:val="20"/>
              </w:rPr>
            </w:pPr>
            <w:r>
              <w:rPr>
                <w:spacing w:val="-4"/>
                <w:sz w:val="20"/>
              </w:rPr>
              <w:t>38,9</w:t>
            </w:r>
          </w:p>
        </w:tc>
        <w:tc>
          <w:tcPr>
            <w:tcW w:w="1118" w:type="dxa"/>
            <w:tcBorders>
              <w:left w:val="single" w:sz="4" w:space="0" w:color="000000"/>
              <w:bottom w:val="single" w:sz="4" w:space="0" w:color="000000"/>
            </w:tcBorders>
          </w:tcPr>
          <w:p>
            <w:pPr>
              <w:pStyle w:val="TableParagraph"/>
              <w:spacing w:before="30"/>
              <w:ind w:left="5" w:right="5"/>
              <w:jc w:val="center"/>
              <w:rPr>
                <w:sz w:val="20"/>
              </w:rPr>
            </w:pPr>
            <w:r>
              <w:rPr>
                <w:spacing w:val="-4"/>
                <w:sz w:val="20"/>
              </w:rPr>
              <w:t>-</w:t>
            </w:r>
            <w:r>
              <w:rPr>
                <w:spacing w:val="-5"/>
                <w:sz w:val="20"/>
              </w:rPr>
              <w:t>8,7</w:t>
            </w:r>
          </w:p>
        </w:tc>
      </w:tr>
    </w:tbl>
    <w:p>
      <w:pPr>
        <w:spacing w:before="0"/>
        <w:ind w:left="360" w:right="0" w:firstLine="0"/>
        <w:jc w:val="both"/>
        <w:rPr>
          <w:i/>
          <w:sz w:val="20"/>
        </w:rPr>
      </w:pPr>
      <w:r>
        <w:rPr>
          <w:i/>
          <w:sz w:val="20"/>
        </w:rPr>
        <w:t>Извор:</w:t>
      </w:r>
      <w:r>
        <w:rPr>
          <w:i/>
          <w:spacing w:val="-6"/>
          <w:sz w:val="20"/>
        </w:rPr>
        <w:t> </w:t>
      </w:r>
      <w:r>
        <w:rPr>
          <w:i/>
          <w:sz w:val="20"/>
        </w:rPr>
        <w:t>АРС,</w:t>
      </w:r>
      <w:r>
        <w:rPr>
          <w:i/>
          <w:spacing w:val="-6"/>
          <w:sz w:val="20"/>
        </w:rPr>
        <w:t> </w:t>
      </w:r>
      <w:r>
        <w:rPr>
          <w:i/>
          <w:spacing w:val="-5"/>
          <w:sz w:val="20"/>
        </w:rPr>
        <w:t>РЗС</w:t>
      </w:r>
    </w:p>
    <w:p>
      <w:pPr>
        <w:pStyle w:val="BodyText"/>
        <w:spacing w:before="113"/>
        <w:ind w:right="717" w:firstLine="719"/>
      </w:pPr>
      <w:r>
        <w:rPr/>
        <w:t>Релативан положај старијих особа радног узраста на тржишту рада је побољшан током</w:t>
      </w:r>
      <w:r>
        <w:rPr>
          <w:spacing w:val="-15"/>
        </w:rPr>
        <w:t> </w:t>
      </w:r>
      <w:r>
        <w:rPr/>
        <w:t>посматраног</w:t>
      </w:r>
      <w:r>
        <w:rPr>
          <w:spacing w:val="-15"/>
        </w:rPr>
        <w:t> </w:t>
      </w:r>
      <w:r>
        <w:rPr/>
        <w:t>периода.</w:t>
      </w:r>
      <w:r>
        <w:rPr>
          <w:spacing w:val="-15"/>
        </w:rPr>
        <w:t> </w:t>
      </w:r>
      <w:r>
        <w:rPr/>
        <w:t>Стопе</w:t>
      </w:r>
      <w:r>
        <w:rPr>
          <w:spacing w:val="-15"/>
        </w:rPr>
        <w:t> </w:t>
      </w:r>
      <w:r>
        <w:rPr/>
        <w:t>активности</w:t>
      </w:r>
      <w:r>
        <w:rPr>
          <w:spacing w:val="-15"/>
        </w:rPr>
        <w:t> </w:t>
      </w:r>
      <w:r>
        <w:rPr/>
        <w:t>и</w:t>
      </w:r>
      <w:r>
        <w:rPr>
          <w:spacing w:val="-15"/>
        </w:rPr>
        <w:t> </w:t>
      </w:r>
      <w:r>
        <w:rPr/>
        <w:t>запослености</w:t>
      </w:r>
      <w:r>
        <w:rPr>
          <w:spacing w:val="-15"/>
        </w:rPr>
        <w:t> </w:t>
      </w:r>
      <w:r>
        <w:rPr/>
        <w:t>повећавале</w:t>
      </w:r>
      <w:r>
        <w:rPr>
          <w:spacing w:val="-15"/>
        </w:rPr>
        <w:t> </w:t>
      </w:r>
      <w:r>
        <w:rPr/>
        <w:t>су</w:t>
      </w:r>
      <w:r>
        <w:rPr>
          <w:spacing w:val="-15"/>
        </w:rPr>
        <w:t> </w:t>
      </w:r>
      <w:r>
        <w:rPr/>
        <w:t>се</w:t>
      </w:r>
      <w:r>
        <w:rPr>
          <w:spacing w:val="-15"/>
        </w:rPr>
        <w:t> </w:t>
      </w:r>
      <w:r>
        <w:rPr/>
        <w:t>без</w:t>
      </w:r>
      <w:r>
        <w:rPr>
          <w:spacing w:val="-15"/>
        </w:rPr>
        <w:t> </w:t>
      </w:r>
      <w:r>
        <w:rPr/>
        <w:t>изузетка из године у</w:t>
      </w:r>
      <w:r>
        <w:rPr>
          <w:spacing w:val="-5"/>
        </w:rPr>
        <w:t> </w:t>
      </w:r>
      <w:r>
        <w:rPr/>
        <w:t>годину, достигавши највише</w:t>
      </w:r>
      <w:r>
        <w:rPr>
          <w:spacing w:val="-1"/>
        </w:rPr>
        <w:t> </w:t>
      </w:r>
      <w:r>
        <w:rPr/>
        <w:t>вредности у 2019. години када</w:t>
      </w:r>
      <w:r>
        <w:rPr>
          <w:spacing w:val="-1"/>
        </w:rPr>
        <w:t> </w:t>
      </w:r>
      <w:r>
        <w:rPr/>
        <w:t>су</w:t>
      </w:r>
      <w:r>
        <w:rPr>
          <w:spacing w:val="-5"/>
        </w:rPr>
        <w:t> </w:t>
      </w:r>
      <w:r>
        <w:rPr/>
        <w:t>износиле</w:t>
      </w:r>
      <w:r>
        <w:rPr>
          <w:spacing w:val="-1"/>
        </w:rPr>
        <w:t> </w:t>
      </w:r>
      <w:r>
        <w:rPr/>
        <w:t>61,1% (повећање од 8,7 п.п. у</w:t>
      </w:r>
      <w:r>
        <w:rPr>
          <w:spacing w:val="-2"/>
        </w:rPr>
        <w:t> </w:t>
      </w:r>
      <w:r>
        <w:rPr/>
        <w:t>односу</w:t>
      </w:r>
      <w:r>
        <w:rPr>
          <w:spacing w:val="-4"/>
        </w:rPr>
        <w:t> </w:t>
      </w:r>
      <w:r>
        <w:rPr/>
        <w:t>на 2015. годину) и 56,9% (повећање од 10,7 п.п. у</w:t>
      </w:r>
      <w:r>
        <w:rPr>
          <w:spacing w:val="-7"/>
        </w:rPr>
        <w:t> </w:t>
      </w:r>
      <w:r>
        <w:rPr/>
        <w:t>односу</w:t>
      </w:r>
      <w:r>
        <w:rPr>
          <w:spacing w:val="-4"/>
        </w:rPr>
        <w:t> </w:t>
      </w:r>
      <w:r>
        <w:rPr/>
        <w:t>на 2015.</w:t>
      </w:r>
      <w:r>
        <w:rPr>
          <w:spacing w:val="-11"/>
        </w:rPr>
        <w:t> </w:t>
      </w:r>
      <w:r>
        <w:rPr/>
        <w:t>годину)</w:t>
      </w:r>
      <w:r>
        <w:rPr>
          <w:spacing w:val="-9"/>
        </w:rPr>
        <w:t> </w:t>
      </w:r>
      <w:r>
        <w:rPr/>
        <w:t>респективно.</w:t>
      </w:r>
      <w:r>
        <w:rPr>
          <w:spacing w:val="-11"/>
        </w:rPr>
        <w:t> </w:t>
      </w:r>
      <w:r>
        <w:rPr/>
        <w:t>Са</w:t>
      </w:r>
      <w:r>
        <w:rPr>
          <w:spacing w:val="-11"/>
        </w:rPr>
        <w:t> </w:t>
      </w:r>
      <w:r>
        <w:rPr/>
        <w:t>друге</w:t>
      </w:r>
      <w:r>
        <w:rPr>
          <w:spacing w:val="-9"/>
        </w:rPr>
        <w:t> </w:t>
      </w:r>
      <w:r>
        <w:rPr/>
        <w:t>стране,</w:t>
      </w:r>
      <w:r>
        <w:rPr>
          <w:spacing w:val="-8"/>
        </w:rPr>
        <w:t> </w:t>
      </w:r>
      <w:r>
        <w:rPr/>
        <w:t>стопа</w:t>
      </w:r>
      <w:r>
        <w:rPr>
          <w:spacing w:val="-11"/>
        </w:rPr>
        <w:t> </w:t>
      </w:r>
      <w:r>
        <w:rPr/>
        <w:t>незапослености</w:t>
      </w:r>
      <w:r>
        <w:rPr>
          <w:spacing w:val="-9"/>
        </w:rPr>
        <w:t> </w:t>
      </w:r>
      <w:r>
        <w:rPr/>
        <w:t>се</w:t>
      </w:r>
      <w:r>
        <w:rPr>
          <w:spacing w:val="-11"/>
        </w:rPr>
        <w:t> </w:t>
      </w:r>
      <w:r>
        <w:rPr/>
        <w:t>смањила</w:t>
      </w:r>
      <w:r>
        <w:rPr>
          <w:spacing w:val="-11"/>
        </w:rPr>
        <w:t> </w:t>
      </w:r>
      <w:r>
        <w:rPr/>
        <w:t>за</w:t>
      </w:r>
      <w:r>
        <w:rPr>
          <w:spacing w:val="-11"/>
        </w:rPr>
        <w:t> </w:t>
      </w:r>
      <w:r>
        <w:rPr/>
        <w:t>5</w:t>
      </w:r>
      <w:r>
        <w:rPr>
          <w:spacing w:val="-11"/>
        </w:rPr>
        <w:t> </w:t>
      </w:r>
      <w:r>
        <w:rPr/>
        <w:t>п.п.</w:t>
      </w:r>
      <w:r>
        <w:rPr>
          <w:spacing w:val="-11"/>
        </w:rPr>
        <w:t> </w:t>
      </w:r>
      <w:r>
        <w:rPr/>
        <w:t>тако да износи 6,9% у 2019. години.</w:t>
      </w:r>
    </w:p>
    <w:p>
      <w:pPr>
        <w:pStyle w:val="BodyText"/>
        <w:spacing w:before="121"/>
        <w:ind w:right="712" w:firstLine="719"/>
      </w:pPr>
      <w:r>
        <w:rPr/>
        <w:t>На побољшање релативног положаја старијих, пре свега, утицале су институционалне</w:t>
      </w:r>
      <w:r>
        <w:rPr>
          <w:spacing w:val="-15"/>
        </w:rPr>
        <w:t> </w:t>
      </w:r>
      <w:r>
        <w:rPr/>
        <w:t>промене.</w:t>
      </w:r>
      <w:r>
        <w:rPr>
          <w:spacing w:val="-15"/>
        </w:rPr>
        <w:t> </w:t>
      </w:r>
      <w:r>
        <w:rPr/>
        <w:t>Прва</w:t>
      </w:r>
      <w:r>
        <w:rPr>
          <w:spacing w:val="-15"/>
        </w:rPr>
        <w:t> </w:t>
      </w:r>
      <w:r>
        <w:rPr/>
        <w:t>промена</w:t>
      </w:r>
      <w:r>
        <w:rPr>
          <w:spacing w:val="-15"/>
        </w:rPr>
        <w:t> </w:t>
      </w:r>
      <w:r>
        <w:rPr/>
        <w:t>је</w:t>
      </w:r>
      <w:r>
        <w:rPr>
          <w:spacing w:val="-11"/>
        </w:rPr>
        <w:t> </w:t>
      </w:r>
      <w:r>
        <w:rPr/>
        <w:t>у</w:t>
      </w:r>
      <w:r>
        <w:rPr>
          <w:spacing w:val="-15"/>
        </w:rPr>
        <w:t> </w:t>
      </w:r>
      <w:r>
        <w:rPr/>
        <w:t>вези</w:t>
      </w:r>
      <w:r>
        <w:rPr>
          <w:spacing w:val="-14"/>
        </w:rPr>
        <w:t> </w:t>
      </w:r>
      <w:r>
        <w:rPr/>
        <w:t>са</w:t>
      </w:r>
      <w:r>
        <w:rPr>
          <w:spacing w:val="-15"/>
        </w:rPr>
        <w:t> </w:t>
      </w:r>
      <w:r>
        <w:rPr/>
        <w:t>отпремнином</w:t>
      </w:r>
      <w:r>
        <w:rPr>
          <w:spacing w:val="-15"/>
        </w:rPr>
        <w:t> </w:t>
      </w:r>
      <w:r>
        <w:rPr/>
        <w:t>која</w:t>
      </w:r>
      <w:r>
        <w:rPr>
          <w:spacing w:val="-15"/>
        </w:rPr>
        <w:t> </w:t>
      </w:r>
      <w:r>
        <w:rPr/>
        <w:t>се,</w:t>
      </w:r>
      <w:r>
        <w:rPr>
          <w:spacing w:val="-14"/>
        </w:rPr>
        <w:t> </w:t>
      </w:r>
      <w:r>
        <w:rPr/>
        <w:t>изменама</w:t>
      </w:r>
      <w:r>
        <w:rPr>
          <w:spacing w:val="-15"/>
        </w:rPr>
        <w:t> </w:t>
      </w:r>
      <w:r>
        <w:rPr/>
        <w:t>Закона о</w:t>
      </w:r>
      <w:r>
        <w:rPr>
          <w:spacing w:val="-10"/>
        </w:rPr>
        <w:t> </w:t>
      </w:r>
      <w:r>
        <w:rPr/>
        <w:t>раду</w:t>
      </w:r>
      <w:r>
        <w:rPr>
          <w:spacing w:val="-14"/>
        </w:rPr>
        <w:t> </w:t>
      </w:r>
      <w:r>
        <w:rPr/>
        <w:t>из</w:t>
      </w:r>
      <w:r>
        <w:rPr>
          <w:spacing w:val="-9"/>
        </w:rPr>
        <w:t> </w:t>
      </w:r>
      <w:r>
        <w:rPr/>
        <w:t>2014.</w:t>
      </w:r>
      <w:r>
        <w:rPr>
          <w:spacing w:val="-10"/>
        </w:rPr>
        <w:t> </w:t>
      </w:r>
      <w:r>
        <w:rPr/>
        <w:t>године,</w:t>
      </w:r>
      <w:r>
        <w:rPr>
          <w:spacing w:val="-10"/>
        </w:rPr>
        <w:t> </w:t>
      </w:r>
      <w:r>
        <w:rPr/>
        <w:t>исплаћује</w:t>
      </w:r>
      <w:r>
        <w:rPr>
          <w:spacing w:val="-10"/>
        </w:rPr>
        <w:t> </w:t>
      </w:r>
      <w:r>
        <w:rPr/>
        <w:t>само</w:t>
      </w:r>
      <w:r>
        <w:rPr>
          <w:spacing w:val="-10"/>
        </w:rPr>
        <w:t> </w:t>
      </w:r>
      <w:r>
        <w:rPr/>
        <w:t>за</w:t>
      </w:r>
      <w:r>
        <w:rPr>
          <w:spacing w:val="-11"/>
        </w:rPr>
        <w:t> </w:t>
      </w:r>
      <w:r>
        <w:rPr/>
        <w:t>стаж</w:t>
      </w:r>
      <w:r>
        <w:rPr>
          <w:spacing w:val="-8"/>
        </w:rPr>
        <w:t> </w:t>
      </w:r>
      <w:r>
        <w:rPr/>
        <w:t>код</w:t>
      </w:r>
      <w:r>
        <w:rPr>
          <w:spacing w:val="-9"/>
        </w:rPr>
        <w:t> </w:t>
      </w:r>
      <w:r>
        <w:rPr/>
        <w:t>последњег</w:t>
      </w:r>
      <w:r>
        <w:rPr>
          <w:spacing w:val="-10"/>
        </w:rPr>
        <w:t> </w:t>
      </w:r>
      <w:r>
        <w:rPr/>
        <w:t>послодавца.</w:t>
      </w:r>
      <w:r>
        <w:rPr>
          <w:spacing w:val="-10"/>
        </w:rPr>
        <w:t> </w:t>
      </w:r>
      <w:r>
        <w:rPr/>
        <w:t>Пре</w:t>
      </w:r>
      <w:r>
        <w:rPr>
          <w:spacing w:val="-11"/>
        </w:rPr>
        <w:t> </w:t>
      </w:r>
      <w:r>
        <w:rPr/>
        <w:t>ових</w:t>
      </w:r>
      <w:r>
        <w:rPr>
          <w:spacing w:val="-8"/>
        </w:rPr>
        <w:t> </w:t>
      </w:r>
      <w:r>
        <w:rPr/>
        <w:t>измена, обрачун отпреминине за цео радни стаж је дестимулисао послодавце да запошљавају старија лица, односно послодавци су исплату отпремнине видели као потенцијалну опасност</w:t>
      </w:r>
      <w:r>
        <w:rPr>
          <w:spacing w:val="-3"/>
        </w:rPr>
        <w:t> </w:t>
      </w:r>
      <w:r>
        <w:rPr/>
        <w:t>(у</w:t>
      </w:r>
      <w:r>
        <w:rPr>
          <w:spacing w:val="-9"/>
        </w:rPr>
        <w:t> </w:t>
      </w:r>
      <w:r>
        <w:rPr/>
        <w:t>виду</w:t>
      </w:r>
      <w:r>
        <w:rPr>
          <w:spacing w:val="-9"/>
        </w:rPr>
        <w:t> </w:t>
      </w:r>
      <w:r>
        <w:rPr/>
        <w:t>високих</w:t>
      </w:r>
      <w:r>
        <w:rPr>
          <w:spacing w:val="-3"/>
        </w:rPr>
        <w:t> </w:t>
      </w:r>
      <w:r>
        <w:rPr/>
        <w:t>трошкова</w:t>
      </w:r>
      <w:r>
        <w:rPr>
          <w:spacing w:val="-3"/>
        </w:rPr>
        <w:t> </w:t>
      </w:r>
      <w:r>
        <w:rPr/>
        <w:t>услед</w:t>
      </w:r>
      <w:r>
        <w:rPr>
          <w:spacing w:val="-3"/>
        </w:rPr>
        <w:t> </w:t>
      </w:r>
      <w:r>
        <w:rPr/>
        <w:t>евентуалног</w:t>
      </w:r>
      <w:r>
        <w:rPr>
          <w:spacing w:val="-4"/>
        </w:rPr>
        <w:t> </w:t>
      </w:r>
      <w:r>
        <w:rPr/>
        <w:t>отпуштања)</w:t>
      </w:r>
      <w:r>
        <w:rPr>
          <w:spacing w:val="-3"/>
        </w:rPr>
        <w:t> </w:t>
      </w:r>
      <w:r>
        <w:rPr/>
        <w:t>при</w:t>
      </w:r>
      <w:r>
        <w:rPr>
          <w:spacing w:val="-3"/>
        </w:rPr>
        <w:t> </w:t>
      </w:r>
      <w:r>
        <w:rPr/>
        <w:t>запошљавању</w:t>
      </w:r>
      <w:r>
        <w:rPr>
          <w:spacing w:val="-10"/>
        </w:rPr>
        <w:t> </w:t>
      </w:r>
      <w:r>
        <w:rPr/>
        <w:t>лица са дугачким радним стажом. Друга институционална промена односи се на повећање старосне границе за одлазак у пензију која је директно утицала на повећање активности и запослености старијих лица радног узраста. Најзад, на повећање активности утицали су и уведени пенали за превремено пензионисање.</w:t>
      </w:r>
    </w:p>
    <w:p>
      <w:pPr>
        <w:pStyle w:val="BodyText"/>
        <w:spacing w:after="0"/>
        <w:sectPr>
          <w:pgSz w:w="12240" w:h="15840"/>
          <w:pgMar w:header="0" w:footer="702" w:top="1360" w:bottom="900" w:left="1080" w:right="720"/>
        </w:sectPr>
      </w:pPr>
    </w:p>
    <w:p>
      <w:pPr>
        <w:pStyle w:val="BodyText"/>
        <w:spacing w:before="72"/>
        <w:ind w:right="720" w:firstLine="719"/>
      </w:pPr>
      <w:r>
        <w:rPr/>
        <w:t>Промене у технологији и производном процесу допринеле су томе да је старијим лицима релативно теже од осталих да се самостално прилагоде новим</w:t>
      </w:r>
      <w:r>
        <w:rPr>
          <w:spacing w:val="-1"/>
        </w:rPr>
        <w:t> </w:t>
      </w:r>
      <w:r>
        <w:rPr/>
        <w:t>потребама тржишта рада. Највећи проблем ових лица су застарела знања и вештине. У изразито неповољној ситуацији нашла су се она лица која су дужи временски период била запослена у истом предузећу, а за чијим је радом престала потреба за обављањем одређеног посла услед технолошких, економских или организационих промена. Недовољна адаптабилност и обесхрабреност услед немогућности проналажења адекватног запослења могу допринети да ова лица релативно лако склизну у неактивност.</w:t>
      </w:r>
    </w:p>
    <w:p>
      <w:pPr>
        <w:spacing w:before="120"/>
        <w:ind w:left="1080" w:right="0" w:firstLine="0"/>
        <w:jc w:val="both"/>
        <w:rPr>
          <w:i/>
          <w:sz w:val="24"/>
        </w:rPr>
      </w:pPr>
      <w:r>
        <w:rPr>
          <w:i/>
          <w:sz w:val="24"/>
        </w:rPr>
        <w:t>Дугорочно</w:t>
      </w:r>
      <w:r>
        <w:rPr>
          <w:i/>
          <w:spacing w:val="-5"/>
          <w:sz w:val="24"/>
        </w:rPr>
        <w:t> </w:t>
      </w:r>
      <w:r>
        <w:rPr>
          <w:i/>
          <w:spacing w:val="-2"/>
          <w:sz w:val="24"/>
        </w:rPr>
        <w:t>незапослени</w:t>
      </w:r>
    </w:p>
    <w:p>
      <w:pPr>
        <w:pStyle w:val="BodyText"/>
        <w:spacing w:before="120"/>
        <w:ind w:right="714" w:firstLine="719"/>
      </w:pPr>
      <w:r>
        <w:rPr/>
        <w:t>Дугорочно незапослени су лица која траже посао 12 месеци и дуже. Дугорочна незапосленост</w:t>
      </w:r>
      <w:r>
        <w:rPr>
          <w:spacing w:val="-4"/>
        </w:rPr>
        <w:t> </w:t>
      </w:r>
      <w:r>
        <w:rPr/>
        <w:t>је</w:t>
      </w:r>
      <w:r>
        <w:rPr>
          <w:spacing w:val="-5"/>
        </w:rPr>
        <w:t> </w:t>
      </w:r>
      <w:r>
        <w:rPr/>
        <w:t>неповољна</w:t>
      </w:r>
      <w:r>
        <w:rPr>
          <w:spacing w:val="-5"/>
        </w:rPr>
        <w:t> </w:t>
      </w:r>
      <w:r>
        <w:rPr/>
        <w:t>јер</w:t>
      </w:r>
      <w:r>
        <w:rPr>
          <w:spacing w:val="-3"/>
        </w:rPr>
        <w:t> </w:t>
      </w:r>
      <w:r>
        <w:rPr/>
        <w:t>утиче</w:t>
      </w:r>
      <w:r>
        <w:rPr>
          <w:spacing w:val="-5"/>
        </w:rPr>
        <w:t> </w:t>
      </w:r>
      <w:r>
        <w:rPr/>
        <w:t>на</w:t>
      </w:r>
      <w:r>
        <w:rPr>
          <w:spacing w:val="-2"/>
        </w:rPr>
        <w:t> </w:t>
      </w:r>
      <w:r>
        <w:rPr/>
        <w:t>смањење</w:t>
      </w:r>
      <w:r>
        <w:rPr>
          <w:spacing w:val="-5"/>
        </w:rPr>
        <w:t> </w:t>
      </w:r>
      <w:r>
        <w:rPr/>
        <w:t>људског</w:t>
      </w:r>
      <w:r>
        <w:rPr>
          <w:spacing w:val="-5"/>
        </w:rPr>
        <w:t> </w:t>
      </w:r>
      <w:r>
        <w:rPr/>
        <w:t>капитала</w:t>
      </w:r>
      <w:r>
        <w:rPr>
          <w:spacing w:val="-8"/>
        </w:rPr>
        <w:t> </w:t>
      </w:r>
      <w:r>
        <w:rPr/>
        <w:t>незапослених,</w:t>
      </w:r>
      <w:r>
        <w:rPr>
          <w:spacing w:val="-4"/>
        </w:rPr>
        <w:t> </w:t>
      </w:r>
      <w:r>
        <w:rPr/>
        <w:t>доводи до застаревања њихових знања и вештина, обесхрабрује незапослене да и даље трагају за послом и истискује их са тржишта рада и сл.</w:t>
      </w:r>
    </w:p>
    <w:p>
      <w:pPr>
        <w:pStyle w:val="BodyText"/>
        <w:spacing w:before="121"/>
        <w:ind w:right="715" w:firstLine="719"/>
      </w:pPr>
      <w:r>
        <w:rPr/>
        <w:t>Са општим опоравком тржишта рада опадао је и број лица радног узраста која трагају за послом дуже од годину дана, тако да ових лица има око 168 хиљада у 2019. години.</w:t>
      </w:r>
      <w:r>
        <w:rPr>
          <w:spacing w:val="-1"/>
        </w:rPr>
        <w:t> </w:t>
      </w:r>
      <w:r>
        <w:rPr/>
        <w:t>Упоредо</w:t>
      </w:r>
      <w:r>
        <w:rPr>
          <w:spacing w:val="-1"/>
        </w:rPr>
        <w:t> </w:t>
      </w:r>
      <w:r>
        <w:rPr/>
        <w:t>са</w:t>
      </w:r>
      <w:r>
        <w:rPr>
          <w:spacing w:val="-2"/>
        </w:rPr>
        <w:t> </w:t>
      </w:r>
      <w:r>
        <w:rPr/>
        <w:t>смањењем</w:t>
      </w:r>
      <w:r>
        <w:rPr>
          <w:spacing w:val="-2"/>
        </w:rPr>
        <w:t> </w:t>
      </w:r>
      <w:r>
        <w:rPr/>
        <w:t>броја</w:t>
      </w:r>
      <w:r>
        <w:rPr>
          <w:spacing w:val="-2"/>
        </w:rPr>
        <w:t> </w:t>
      </w:r>
      <w:r>
        <w:rPr/>
        <w:t>дугорочно незапослених</w:t>
      </w:r>
      <w:r>
        <w:rPr>
          <w:spacing w:val="-1"/>
        </w:rPr>
        <w:t> </w:t>
      </w:r>
      <w:r>
        <w:rPr/>
        <w:t>(160</w:t>
      </w:r>
      <w:r>
        <w:rPr>
          <w:spacing w:val="-4"/>
        </w:rPr>
        <w:t> </w:t>
      </w:r>
      <w:r>
        <w:rPr/>
        <w:t>хиљада у</w:t>
      </w:r>
      <w:r>
        <w:rPr>
          <w:spacing w:val="-6"/>
        </w:rPr>
        <w:t> </w:t>
      </w:r>
      <w:r>
        <w:rPr/>
        <w:t>периоду</w:t>
      </w:r>
      <w:r>
        <w:rPr>
          <w:spacing w:val="-6"/>
        </w:rPr>
        <w:t> </w:t>
      </w:r>
      <w:r>
        <w:rPr/>
        <w:t>2015- 2019.</w:t>
      </w:r>
      <w:r>
        <w:rPr>
          <w:spacing w:val="-1"/>
        </w:rPr>
        <w:t> </w:t>
      </w:r>
      <w:r>
        <w:rPr/>
        <w:t>године),</w:t>
      </w:r>
      <w:r>
        <w:rPr>
          <w:spacing w:val="-2"/>
        </w:rPr>
        <w:t> </w:t>
      </w:r>
      <w:r>
        <w:rPr/>
        <w:t>опада</w:t>
      </w:r>
      <w:r>
        <w:rPr>
          <w:spacing w:val="-2"/>
        </w:rPr>
        <w:t> </w:t>
      </w:r>
      <w:r>
        <w:rPr/>
        <w:t>и</w:t>
      </w:r>
      <w:r>
        <w:rPr>
          <w:spacing w:val="-5"/>
        </w:rPr>
        <w:t> </w:t>
      </w:r>
      <w:r>
        <w:rPr/>
        <w:t>њихово учешће у</w:t>
      </w:r>
      <w:r>
        <w:rPr>
          <w:spacing w:val="-4"/>
        </w:rPr>
        <w:t> </w:t>
      </w:r>
      <w:r>
        <w:rPr/>
        <w:t>укупној</w:t>
      </w:r>
      <w:r>
        <w:rPr>
          <w:spacing w:val="-1"/>
        </w:rPr>
        <w:t> </w:t>
      </w:r>
      <w:r>
        <w:rPr/>
        <w:t>незапослености</w:t>
      </w:r>
      <w:r>
        <w:rPr>
          <w:spacing w:val="-2"/>
        </w:rPr>
        <w:t> </w:t>
      </w:r>
      <w:r>
        <w:rPr/>
        <w:t>на</w:t>
      </w:r>
      <w:r>
        <w:rPr>
          <w:spacing w:val="-2"/>
        </w:rPr>
        <w:t> </w:t>
      </w:r>
      <w:r>
        <w:rPr/>
        <w:t>50,3%</w:t>
      </w:r>
      <w:r>
        <w:rPr>
          <w:spacing w:val="-2"/>
        </w:rPr>
        <w:t> </w:t>
      </w:r>
      <w:r>
        <w:rPr/>
        <w:t>(смањење</w:t>
      </w:r>
      <w:r>
        <w:rPr>
          <w:spacing w:val="-2"/>
        </w:rPr>
        <w:t> </w:t>
      </w:r>
      <w:r>
        <w:rPr/>
        <w:t>од</w:t>
      </w:r>
      <w:r>
        <w:rPr>
          <w:spacing w:val="-1"/>
        </w:rPr>
        <w:t> </w:t>
      </w:r>
      <w:r>
        <w:rPr/>
        <w:t>9,4 п.п. у посматраном периоду).</w:t>
      </w:r>
    </w:p>
    <w:p>
      <w:pPr>
        <w:pStyle w:val="BodyText"/>
        <w:spacing w:before="122"/>
      </w:pPr>
      <w:r>
        <w:rPr/>
        <w:t>Табела</w:t>
      </w:r>
      <w:r>
        <w:rPr>
          <w:spacing w:val="-5"/>
        </w:rPr>
        <w:t> </w:t>
      </w:r>
      <w:r>
        <w:rPr/>
        <w:t>9.</w:t>
      </w:r>
      <w:r>
        <w:rPr>
          <w:spacing w:val="58"/>
        </w:rPr>
        <w:t>  </w:t>
      </w:r>
      <w:r>
        <w:rPr/>
        <w:t>Незапослена</w:t>
      </w:r>
      <w:r>
        <w:rPr>
          <w:spacing w:val="-2"/>
        </w:rPr>
        <w:t> </w:t>
      </w:r>
      <w:r>
        <w:rPr/>
        <w:t>лица</w:t>
      </w:r>
      <w:r>
        <w:rPr>
          <w:spacing w:val="-3"/>
        </w:rPr>
        <w:t> </w:t>
      </w:r>
      <w:r>
        <w:rPr/>
        <w:t>радног узраста</w:t>
      </w:r>
      <w:r>
        <w:rPr>
          <w:spacing w:val="-1"/>
        </w:rPr>
        <w:t> </w:t>
      </w:r>
      <w:r>
        <w:rPr/>
        <w:t>према</w:t>
      </w:r>
      <w:r>
        <w:rPr>
          <w:spacing w:val="-3"/>
        </w:rPr>
        <w:t> </w:t>
      </w:r>
      <w:r>
        <w:rPr/>
        <w:t>дужини</w:t>
      </w:r>
      <w:r>
        <w:rPr>
          <w:spacing w:val="-2"/>
        </w:rPr>
        <w:t> </w:t>
      </w:r>
      <w:r>
        <w:rPr/>
        <w:t>тражења</w:t>
      </w:r>
      <w:r>
        <w:rPr>
          <w:spacing w:val="-3"/>
        </w:rPr>
        <w:t> </w:t>
      </w:r>
      <w:r>
        <w:rPr/>
        <w:t>посла,</w:t>
      </w:r>
      <w:r>
        <w:rPr>
          <w:spacing w:val="3"/>
        </w:rPr>
        <w:t> </w:t>
      </w:r>
      <w:r>
        <w:rPr/>
        <w:t>2015-</w:t>
      </w:r>
      <w:r>
        <w:rPr>
          <w:spacing w:val="-4"/>
        </w:rPr>
        <w:t>2019</w:t>
      </w:r>
    </w:p>
    <w:p>
      <w:pPr>
        <w:pStyle w:val="BodyText"/>
        <w:spacing w:before="3"/>
        <w:ind w:left="0"/>
        <w:jc w:val="left"/>
        <w:rPr>
          <w:sz w:val="13"/>
        </w:r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0"/>
        <w:gridCol w:w="1000"/>
        <w:gridCol w:w="871"/>
        <w:gridCol w:w="871"/>
        <w:gridCol w:w="872"/>
        <w:gridCol w:w="746"/>
        <w:gridCol w:w="1120"/>
      </w:tblGrid>
      <w:tr>
        <w:trPr>
          <w:trHeight w:val="369" w:hRule="atLeast"/>
        </w:trPr>
        <w:tc>
          <w:tcPr>
            <w:tcW w:w="3560" w:type="dxa"/>
            <w:tcBorders>
              <w:top w:val="single" w:sz="4" w:space="0" w:color="000000"/>
              <w:bottom w:val="single" w:sz="4" w:space="0" w:color="000000"/>
              <w:right w:val="single" w:sz="4" w:space="0" w:color="000000"/>
            </w:tcBorders>
          </w:tcPr>
          <w:p>
            <w:pPr>
              <w:pStyle w:val="TableParagraph"/>
              <w:rPr>
                <w:sz w:val="22"/>
              </w:rPr>
            </w:pPr>
          </w:p>
        </w:tc>
        <w:tc>
          <w:tcPr>
            <w:tcW w:w="1000" w:type="dxa"/>
            <w:tcBorders>
              <w:top w:val="single" w:sz="4" w:space="0" w:color="000000"/>
              <w:left w:val="single" w:sz="4" w:space="0" w:color="000000"/>
              <w:bottom w:val="single" w:sz="4" w:space="0" w:color="000000"/>
            </w:tcBorders>
          </w:tcPr>
          <w:p>
            <w:pPr>
              <w:pStyle w:val="TableParagraph"/>
              <w:spacing w:before="68"/>
              <w:ind w:right="232"/>
              <w:jc w:val="right"/>
              <w:rPr>
                <w:b/>
                <w:sz w:val="20"/>
              </w:rPr>
            </w:pPr>
            <w:r>
              <w:rPr>
                <w:b/>
                <w:spacing w:val="-4"/>
                <w:sz w:val="20"/>
              </w:rPr>
              <w:t>2015</w:t>
            </w:r>
          </w:p>
        </w:tc>
        <w:tc>
          <w:tcPr>
            <w:tcW w:w="871" w:type="dxa"/>
            <w:tcBorders>
              <w:top w:val="single" w:sz="4" w:space="0" w:color="000000"/>
              <w:bottom w:val="single" w:sz="4" w:space="0" w:color="000000"/>
            </w:tcBorders>
          </w:tcPr>
          <w:p>
            <w:pPr>
              <w:pStyle w:val="TableParagraph"/>
              <w:spacing w:before="68"/>
              <w:ind w:right="232"/>
              <w:jc w:val="right"/>
              <w:rPr>
                <w:b/>
                <w:sz w:val="20"/>
              </w:rPr>
            </w:pPr>
            <w:r>
              <w:rPr>
                <w:b/>
                <w:spacing w:val="-4"/>
                <w:sz w:val="20"/>
              </w:rPr>
              <w:t>2016</w:t>
            </w:r>
          </w:p>
        </w:tc>
        <w:tc>
          <w:tcPr>
            <w:tcW w:w="871" w:type="dxa"/>
            <w:tcBorders>
              <w:top w:val="single" w:sz="4" w:space="0" w:color="000000"/>
              <w:bottom w:val="single" w:sz="4" w:space="0" w:color="000000"/>
            </w:tcBorders>
          </w:tcPr>
          <w:p>
            <w:pPr>
              <w:pStyle w:val="TableParagraph"/>
              <w:spacing w:before="68"/>
              <w:ind w:right="234"/>
              <w:jc w:val="right"/>
              <w:rPr>
                <w:b/>
                <w:sz w:val="20"/>
              </w:rPr>
            </w:pPr>
            <w:r>
              <w:rPr>
                <w:b/>
                <w:spacing w:val="-4"/>
                <w:sz w:val="20"/>
              </w:rPr>
              <w:t>2017</w:t>
            </w:r>
          </w:p>
        </w:tc>
        <w:tc>
          <w:tcPr>
            <w:tcW w:w="872" w:type="dxa"/>
            <w:tcBorders>
              <w:top w:val="single" w:sz="4" w:space="0" w:color="000000"/>
              <w:bottom w:val="single" w:sz="4" w:space="0" w:color="000000"/>
            </w:tcBorders>
          </w:tcPr>
          <w:p>
            <w:pPr>
              <w:pStyle w:val="TableParagraph"/>
              <w:spacing w:before="68"/>
              <w:ind w:left="144" w:right="147"/>
              <w:jc w:val="center"/>
              <w:rPr>
                <w:b/>
                <w:sz w:val="20"/>
              </w:rPr>
            </w:pPr>
            <w:r>
              <w:rPr>
                <w:b/>
                <w:spacing w:val="-4"/>
                <w:sz w:val="20"/>
              </w:rPr>
              <w:t>2018</w:t>
            </w:r>
          </w:p>
        </w:tc>
        <w:tc>
          <w:tcPr>
            <w:tcW w:w="746" w:type="dxa"/>
            <w:tcBorders>
              <w:top w:val="single" w:sz="4" w:space="0" w:color="000000"/>
              <w:bottom w:val="single" w:sz="4" w:space="0" w:color="000000"/>
              <w:right w:val="single" w:sz="4" w:space="0" w:color="000000"/>
            </w:tcBorders>
          </w:tcPr>
          <w:p>
            <w:pPr>
              <w:pStyle w:val="TableParagraph"/>
              <w:spacing w:before="68"/>
              <w:ind w:left="172" w:right="48"/>
              <w:jc w:val="center"/>
              <w:rPr>
                <w:b/>
                <w:sz w:val="20"/>
              </w:rPr>
            </w:pPr>
            <w:r>
              <w:rPr>
                <w:b/>
                <w:spacing w:val="-4"/>
                <w:sz w:val="20"/>
              </w:rPr>
              <w:t>2019</w:t>
            </w:r>
          </w:p>
        </w:tc>
        <w:tc>
          <w:tcPr>
            <w:tcW w:w="1120" w:type="dxa"/>
            <w:tcBorders>
              <w:top w:val="single" w:sz="4" w:space="0" w:color="000000"/>
              <w:left w:val="single" w:sz="4" w:space="0" w:color="000000"/>
              <w:bottom w:val="single" w:sz="4" w:space="0" w:color="000000"/>
            </w:tcBorders>
          </w:tcPr>
          <w:p>
            <w:pPr>
              <w:pStyle w:val="TableParagraph"/>
              <w:spacing w:line="181" w:lineRule="exact"/>
              <w:ind w:left="226"/>
              <w:rPr>
                <w:b/>
                <w:sz w:val="16"/>
              </w:rPr>
            </w:pPr>
            <w:r>
              <w:rPr>
                <w:b/>
                <w:spacing w:val="-2"/>
                <w:sz w:val="16"/>
              </w:rPr>
              <w:t>Промена</w:t>
            </w:r>
          </w:p>
          <w:p>
            <w:pPr>
              <w:pStyle w:val="TableParagraph"/>
              <w:spacing w:line="168" w:lineRule="exact" w:before="1"/>
              <w:ind w:left="209"/>
              <w:rPr>
                <w:b/>
                <w:sz w:val="16"/>
              </w:rPr>
            </w:pPr>
            <w:r>
              <w:rPr>
                <w:b/>
                <w:spacing w:val="-2"/>
                <w:sz w:val="16"/>
              </w:rPr>
              <w:t>2019/2015</w:t>
            </w:r>
          </w:p>
        </w:tc>
      </w:tr>
      <w:tr>
        <w:trPr>
          <w:trHeight w:val="294" w:hRule="atLeast"/>
        </w:trPr>
        <w:tc>
          <w:tcPr>
            <w:tcW w:w="3560" w:type="dxa"/>
            <w:tcBorders>
              <w:top w:val="single" w:sz="4" w:space="0" w:color="000000"/>
              <w:right w:val="single" w:sz="4" w:space="0" w:color="000000"/>
            </w:tcBorders>
          </w:tcPr>
          <w:p>
            <w:pPr>
              <w:pStyle w:val="TableParagraph"/>
              <w:spacing w:before="29"/>
              <w:ind w:left="122"/>
              <w:rPr>
                <w:sz w:val="20"/>
              </w:rPr>
            </w:pPr>
            <w:r>
              <w:rPr>
                <w:sz w:val="20"/>
              </w:rPr>
              <w:t>Незапослени</w:t>
            </w:r>
            <w:r>
              <w:rPr>
                <w:spacing w:val="-7"/>
                <w:sz w:val="20"/>
              </w:rPr>
              <w:t> </w:t>
            </w:r>
            <w:r>
              <w:rPr>
                <w:sz w:val="20"/>
              </w:rPr>
              <w:t>(15-64,),</w:t>
            </w:r>
            <w:r>
              <w:rPr>
                <w:spacing w:val="-5"/>
                <w:sz w:val="20"/>
              </w:rPr>
              <w:t> </w:t>
            </w:r>
            <w:r>
              <w:rPr>
                <w:sz w:val="20"/>
              </w:rPr>
              <w:t>у</w:t>
            </w:r>
            <w:r>
              <w:rPr>
                <w:spacing w:val="-7"/>
                <w:sz w:val="20"/>
              </w:rPr>
              <w:t> </w:t>
            </w:r>
            <w:r>
              <w:rPr>
                <w:spacing w:val="-2"/>
                <w:sz w:val="20"/>
              </w:rPr>
              <w:t>хиљадама</w:t>
            </w:r>
          </w:p>
        </w:tc>
        <w:tc>
          <w:tcPr>
            <w:tcW w:w="1000" w:type="dxa"/>
            <w:tcBorders>
              <w:top w:val="single" w:sz="4" w:space="0" w:color="000000"/>
              <w:left w:val="single" w:sz="4" w:space="0" w:color="000000"/>
            </w:tcBorders>
          </w:tcPr>
          <w:p>
            <w:pPr>
              <w:pStyle w:val="TableParagraph"/>
              <w:spacing w:before="29"/>
              <w:ind w:right="232"/>
              <w:jc w:val="right"/>
              <w:rPr>
                <w:sz w:val="20"/>
              </w:rPr>
            </w:pPr>
            <w:r>
              <w:rPr>
                <w:spacing w:val="-5"/>
                <w:sz w:val="20"/>
              </w:rPr>
              <w:t>550</w:t>
            </w:r>
          </w:p>
        </w:tc>
        <w:tc>
          <w:tcPr>
            <w:tcW w:w="871" w:type="dxa"/>
            <w:tcBorders>
              <w:top w:val="single" w:sz="4" w:space="0" w:color="000000"/>
            </w:tcBorders>
          </w:tcPr>
          <w:p>
            <w:pPr>
              <w:pStyle w:val="TableParagraph"/>
              <w:spacing w:before="29"/>
              <w:ind w:right="232"/>
              <w:jc w:val="right"/>
              <w:rPr>
                <w:sz w:val="20"/>
              </w:rPr>
            </w:pPr>
            <w:r>
              <w:rPr>
                <w:spacing w:val="-5"/>
                <w:sz w:val="20"/>
              </w:rPr>
              <w:t>488</w:t>
            </w:r>
          </w:p>
        </w:tc>
        <w:tc>
          <w:tcPr>
            <w:tcW w:w="871" w:type="dxa"/>
            <w:tcBorders>
              <w:top w:val="single" w:sz="4" w:space="0" w:color="000000"/>
            </w:tcBorders>
          </w:tcPr>
          <w:p>
            <w:pPr>
              <w:pStyle w:val="TableParagraph"/>
              <w:spacing w:before="29"/>
              <w:ind w:right="234"/>
              <w:jc w:val="right"/>
              <w:rPr>
                <w:sz w:val="20"/>
              </w:rPr>
            </w:pPr>
            <w:r>
              <w:rPr>
                <w:spacing w:val="-5"/>
                <w:sz w:val="20"/>
              </w:rPr>
              <w:t>433</w:t>
            </w:r>
          </w:p>
        </w:tc>
        <w:tc>
          <w:tcPr>
            <w:tcW w:w="872" w:type="dxa"/>
            <w:tcBorders>
              <w:top w:val="single" w:sz="4" w:space="0" w:color="000000"/>
            </w:tcBorders>
          </w:tcPr>
          <w:p>
            <w:pPr>
              <w:pStyle w:val="TableParagraph"/>
              <w:spacing w:before="29"/>
              <w:ind w:left="144" w:right="49"/>
              <w:jc w:val="center"/>
              <w:rPr>
                <w:sz w:val="20"/>
              </w:rPr>
            </w:pPr>
            <w:r>
              <w:rPr>
                <w:spacing w:val="-5"/>
                <w:sz w:val="20"/>
              </w:rPr>
              <w:t>411</w:t>
            </w:r>
          </w:p>
        </w:tc>
        <w:tc>
          <w:tcPr>
            <w:tcW w:w="746" w:type="dxa"/>
            <w:tcBorders>
              <w:top w:val="single" w:sz="4" w:space="0" w:color="000000"/>
              <w:right w:val="single" w:sz="4" w:space="0" w:color="000000"/>
            </w:tcBorders>
          </w:tcPr>
          <w:p>
            <w:pPr>
              <w:pStyle w:val="TableParagraph"/>
              <w:spacing w:before="29"/>
              <w:ind w:left="273" w:right="49"/>
              <w:jc w:val="center"/>
              <w:rPr>
                <w:sz w:val="20"/>
              </w:rPr>
            </w:pPr>
            <w:r>
              <w:rPr>
                <w:spacing w:val="-5"/>
                <w:sz w:val="20"/>
              </w:rPr>
              <w:t>335</w:t>
            </w:r>
          </w:p>
        </w:tc>
        <w:tc>
          <w:tcPr>
            <w:tcW w:w="1120" w:type="dxa"/>
            <w:tcBorders>
              <w:top w:val="single" w:sz="4" w:space="0" w:color="000000"/>
              <w:left w:val="single" w:sz="4" w:space="0" w:color="000000"/>
            </w:tcBorders>
          </w:tcPr>
          <w:p>
            <w:pPr>
              <w:pStyle w:val="TableParagraph"/>
              <w:spacing w:before="29"/>
              <w:ind w:left="4" w:right="12"/>
              <w:jc w:val="center"/>
              <w:rPr>
                <w:sz w:val="20"/>
              </w:rPr>
            </w:pPr>
            <w:r>
              <w:rPr>
                <w:spacing w:val="-4"/>
                <w:sz w:val="20"/>
              </w:rPr>
              <w:t>-</w:t>
            </w:r>
            <w:r>
              <w:rPr>
                <w:spacing w:val="-5"/>
                <w:sz w:val="20"/>
              </w:rPr>
              <w:t>215</w:t>
            </w:r>
          </w:p>
        </w:tc>
      </w:tr>
      <w:tr>
        <w:trPr>
          <w:trHeight w:val="512" w:hRule="atLeast"/>
        </w:trPr>
        <w:tc>
          <w:tcPr>
            <w:tcW w:w="3560" w:type="dxa"/>
            <w:tcBorders>
              <w:right w:val="single" w:sz="4" w:space="0" w:color="000000"/>
            </w:tcBorders>
          </w:tcPr>
          <w:p>
            <w:pPr>
              <w:pStyle w:val="TableParagraph"/>
              <w:spacing w:line="235" w:lineRule="auto" w:before="30"/>
              <w:ind w:left="122"/>
              <w:rPr>
                <w:sz w:val="20"/>
              </w:rPr>
            </w:pPr>
            <w:r>
              <w:rPr>
                <w:b/>
                <w:sz w:val="20"/>
              </w:rPr>
              <w:t>Дугорочно</w:t>
            </w:r>
            <w:r>
              <w:rPr>
                <w:b/>
                <w:spacing w:val="-13"/>
                <w:sz w:val="20"/>
              </w:rPr>
              <w:t> </w:t>
            </w:r>
            <w:r>
              <w:rPr>
                <w:b/>
                <w:sz w:val="20"/>
              </w:rPr>
              <w:t>незапослена</w:t>
            </w:r>
            <w:r>
              <w:rPr>
                <w:b/>
                <w:spacing w:val="-12"/>
                <w:sz w:val="20"/>
              </w:rPr>
              <w:t> </w:t>
            </w:r>
            <w:r>
              <w:rPr>
                <w:b/>
                <w:sz w:val="20"/>
              </w:rPr>
              <w:t>лица</w:t>
            </w:r>
            <w:r>
              <w:rPr>
                <w:b/>
                <w:spacing w:val="-13"/>
                <w:sz w:val="20"/>
              </w:rPr>
              <w:t> </w:t>
            </w:r>
            <w:r>
              <w:rPr>
                <w:b/>
                <w:sz w:val="20"/>
              </w:rPr>
              <w:t>(12+ месеци), </w:t>
            </w:r>
            <w:r>
              <w:rPr>
                <w:sz w:val="20"/>
              </w:rPr>
              <w:t>у хиљадама</w:t>
            </w:r>
          </w:p>
        </w:tc>
        <w:tc>
          <w:tcPr>
            <w:tcW w:w="1000" w:type="dxa"/>
            <w:tcBorders>
              <w:left w:val="single" w:sz="4" w:space="0" w:color="000000"/>
            </w:tcBorders>
          </w:tcPr>
          <w:p>
            <w:pPr>
              <w:pStyle w:val="TableParagraph"/>
              <w:spacing w:before="142"/>
              <w:ind w:right="232"/>
              <w:jc w:val="right"/>
              <w:rPr>
                <w:b/>
                <w:sz w:val="20"/>
              </w:rPr>
            </w:pPr>
            <w:r>
              <w:rPr>
                <w:b/>
                <w:spacing w:val="-5"/>
                <w:sz w:val="20"/>
              </w:rPr>
              <w:t>328</w:t>
            </w:r>
          </w:p>
        </w:tc>
        <w:tc>
          <w:tcPr>
            <w:tcW w:w="871" w:type="dxa"/>
          </w:tcPr>
          <w:p>
            <w:pPr>
              <w:pStyle w:val="TableParagraph"/>
              <w:spacing w:before="142"/>
              <w:ind w:right="232"/>
              <w:jc w:val="right"/>
              <w:rPr>
                <w:b/>
                <w:sz w:val="20"/>
              </w:rPr>
            </w:pPr>
            <w:r>
              <w:rPr>
                <w:b/>
                <w:spacing w:val="-5"/>
                <w:sz w:val="20"/>
              </w:rPr>
              <w:t>289</w:t>
            </w:r>
          </w:p>
        </w:tc>
        <w:tc>
          <w:tcPr>
            <w:tcW w:w="871" w:type="dxa"/>
          </w:tcPr>
          <w:p>
            <w:pPr>
              <w:pStyle w:val="TableParagraph"/>
              <w:spacing w:before="142"/>
              <w:ind w:right="234"/>
              <w:jc w:val="right"/>
              <w:rPr>
                <w:b/>
                <w:sz w:val="20"/>
              </w:rPr>
            </w:pPr>
            <w:r>
              <w:rPr>
                <w:b/>
                <w:spacing w:val="-5"/>
                <w:sz w:val="20"/>
              </w:rPr>
              <w:t>228</w:t>
            </w:r>
          </w:p>
        </w:tc>
        <w:tc>
          <w:tcPr>
            <w:tcW w:w="872" w:type="dxa"/>
          </w:tcPr>
          <w:p>
            <w:pPr>
              <w:pStyle w:val="TableParagraph"/>
              <w:spacing w:before="142"/>
              <w:ind w:left="144" w:right="49"/>
              <w:jc w:val="center"/>
              <w:rPr>
                <w:b/>
                <w:sz w:val="20"/>
              </w:rPr>
            </w:pPr>
            <w:r>
              <w:rPr>
                <w:b/>
                <w:spacing w:val="-5"/>
                <w:sz w:val="20"/>
              </w:rPr>
              <w:t>208</w:t>
            </w:r>
          </w:p>
        </w:tc>
        <w:tc>
          <w:tcPr>
            <w:tcW w:w="746" w:type="dxa"/>
            <w:tcBorders>
              <w:right w:val="single" w:sz="4" w:space="0" w:color="000000"/>
            </w:tcBorders>
          </w:tcPr>
          <w:p>
            <w:pPr>
              <w:pStyle w:val="TableParagraph"/>
              <w:spacing w:before="142"/>
              <w:ind w:left="273" w:right="49"/>
              <w:jc w:val="center"/>
              <w:rPr>
                <w:b/>
                <w:sz w:val="20"/>
              </w:rPr>
            </w:pPr>
            <w:r>
              <w:rPr>
                <w:b/>
                <w:spacing w:val="-5"/>
                <w:sz w:val="20"/>
              </w:rPr>
              <w:t>168</w:t>
            </w:r>
          </w:p>
        </w:tc>
        <w:tc>
          <w:tcPr>
            <w:tcW w:w="1120" w:type="dxa"/>
            <w:tcBorders>
              <w:left w:val="single" w:sz="4" w:space="0" w:color="000000"/>
            </w:tcBorders>
          </w:tcPr>
          <w:p>
            <w:pPr>
              <w:pStyle w:val="TableParagraph"/>
              <w:spacing w:before="142"/>
              <w:ind w:left="6" w:right="12"/>
              <w:jc w:val="center"/>
              <w:rPr>
                <w:b/>
                <w:sz w:val="20"/>
              </w:rPr>
            </w:pPr>
            <w:r>
              <w:rPr>
                <w:b/>
                <w:spacing w:val="-2"/>
                <w:sz w:val="20"/>
              </w:rPr>
              <w:t>-</w:t>
            </w:r>
            <w:r>
              <w:rPr>
                <w:b/>
                <w:spacing w:val="-5"/>
                <w:sz w:val="20"/>
              </w:rPr>
              <w:t>160</w:t>
            </w:r>
          </w:p>
        </w:tc>
      </w:tr>
      <w:tr>
        <w:trPr>
          <w:trHeight w:val="548" w:hRule="atLeast"/>
        </w:trPr>
        <w:tc>
          <w:tcPr>
            <w:tcW w:w="3560" w:type="dxa"/>
            <w:tcBorders>
              <w:right w:val="single" w:sz="4" w:space="0" w:color="000000"/>
            </w:tcBorders>
          </w:tcPr>
          <w:p>
            <w:pPr>
              <w:pStyle w:val="TableParagraph"/>
              <w:spacing w:before="21"/>
              <w:ind w:left="122" w:right="111"/>
              <w:rPr>
                <w:sz w:val="20"/>
              </w:rPr>
            </w:pPr>
            <w:r>
              <w:rPr>
                <w:sz w:val="20"/>
              </w:rPr>
              <w:t>Учешће</w:t>
            </w:r>
            <w:r>
              <w:rPr>
                <w:spacing w:val="-13"/>
                <w:sz w:val="20"/>
              </w:rPr>
              <w:t> </w:t>
            </w:r>
            <w:r>
              <w:rPr>
                <w:sz w:val="20"/>
              </w:rPr>
              <w:t>дугорочно</w:t>
            </w:r>
            <w:r>
              <w:rPr>
                <w:spacing w:val="-12"/>
                <w:sz w:val="20"/>
              </w:rPr>
              <w:t> </w:t>
            </w:r>
            <w:r>
              <w:rPr>
                <w:sz w:val="20"/>
              </w:rPr>
              <w:t>незапослених</w:t>
            </w:r>
            <w:r>
              <w:rPr>
                <w:spacing w:val="-13"/>
                <w:sz w:val="20"/>
              </w:rPr>
              <w:t> </w:t>
            </w:r>
            <w:r>
              <w:rPr>
                <w:sz w:val="20"/>
              </w:rPr>
              <w:t>лица у укупној незапослености, %</w:t>
            </w:r>
          </w:p>
        </w:tc>
        <w:tc>
          <w:tcPr>
            <w:tcW w:w="1000" w:type="dxa"/>
            <w:tcBorders>
              <w:left w:val="single" w:sz="4" w:space="0" w:color="000000"/>
            </w:tcBorders>
          </w:tcPr>
          <w:p>
            <w:pPr>
              <w:pStyle w:val="TableParagraph"/>
              <w:spacing w:before="136"/>
              <w:ind w:right="234"/>
              <w:jc w:val="right"/>
              <w:rPr>
                <w:sz w:val="20"/>
              </w:rPr>
            </w:pPr>
            <w:r>
              <w:rPr>
                <w:spacing w:val="-4"/>
                <w:sz w:val="20"/>
              </w:rPr>
              <w:t>59,7</w:t>
            </w:r>
          </w:p>
        </w:tc>
        <w:tc>
          <w:tcPr>
            <w:tcW w:w="871" w:type="dxa"/>
          </w:tcPr>
          <w:p>
            <w:pPr>
              <w:pStyle w:val="TableParagraph"/>
              <w:spacing w:before="136"/>
              <w:ind w:right="234"/>
              <w:jc w:val="right"/>
              <w:rPr>
                <w:sz w:val="20"/>
              </w:rPr>
            </w:pPr>
            <w:r>
              <w:rPr>
                <w:spacing w:val="-4"/>
                <w:sz w:val="20"/>
              </w:rPr>
              <w:t>59,1</w:t>
            </w:r>
          </w:p>
        </w:tc>
        <w:tc>
          <w:tcPr>
            <w:tcW w:w="871" w:type="dxa"/>
          </w:tcPr>
          <w:p>
            <w:pPr>
              <w:pStyle w:val="TableParagraph"/>
              <w:spacing w:before="136"/>
              <w:ind w:right="236"/>
              <w:jc w:val="right"/>
              <w:rPr>
                <w:sz w:val="20"/>
              </w:rPr>
            </w:pPr>
            <w:r>
              <w:rPr>
                <w:spacing w:val="-4"/>
                <w:sz w:val="20"/>
              </w:rPr>
              <w:t>52,6</w:t>
            </w:r>
          </w:p>
        </w:tc>
        <w:tc>
          <w:tcPr>
            <w:tcW w:w="872" w:type="dxa"/>
          </w:tcPr>
          <w:p>
            <w:pPr>
              <w:pStyle w:val="TableParagraph"/>
              <w:spacing w:before="136"/>
              <w:ind w:left="144" w:right="101"/>
              <w:jc w:val="center"/>
              <w:rPr>
                <w:sz w:val="20"/>
              </w:rPr>
            </w:pPr>
            <w:r>
              <w:rPr>
                <w:spacing w:val="-4"/>
                <w:sz w:val="20"/>
              </w:rPr>
              <w:t>50,5</w:t>
            </w:r>
          </w:p>
        </w:tc>
        <w:tc>
          <w:tcPr>
            <w:tcW w:w="746" w:type="dxa"/>
            <w:tcBorders>
              <w:right w:val="single" w:sz="4" w:space="0" w:color="000000"/>
            </w:tcBorders>
          </w:tcPr>
          <w:p>
            <w:pPr>
              <w:pStyle w:val="TableParagraph"/>
              <w:spacing w:before="136"/>
              <w:ind w:left="172"/>
              <w:jc w:val="center"/>
              <w:rPr>
                <w:sz w:val="20"/>
              </w:rPr>
            </w:pPr>
            <w:r>
              <w:rPr>
                <w:spacing w:val="-4"/>
                <w:sz w:val="20"/>
              </w:rPr>
              <w:t>50,3</w:t>
            </w:r>
          </w:p>
        </w:tc>
        <w:tc>
          <w:tcPr>
            <w:tcW w:w="1120" w:type="dxa"/>
            <w:tcBorders>
              <w:left w:val="single" w:sz="4" w:space="0" w:color="000000"/>
            </w:tcBorders>
          </w:tcPr>
          <w:p>
            <w:pPr>
              <w:pStyle w:val="TableParagraph"/>
              <w:spacing w:before="136"/>
              <w:ind w:right="12"/>
              <w:jc w:val="center"/>
              <w:rPr>
                <w:sz w:val="20"/>
              </w:rPr>
            </w:pPr>
            <w:r>
              <w:rPr>
                <w:spacing w:val="-4"/>
                <w:sz w:val="20"/>
              </w:rPr>
              <w:t>-</w:t>
            </w:r>
            <w:r>
              <w:rPr>
                <w:spacing w:val="-5"/>
                <w:sz w:val="20"/>
              </w:rPr>
              <w:t>9,4</w:t>
            </w:r>
          </w:p>
        </w:tc>
      </w:tr>
      <w:tr>
        <w:trPr>
          <w:trHeight w:val="383" w:hRule="atLeast"/>
        </w:trPr>
        <w:tc>
          <w:tcPr>
            <w:tcW w:w="3560" w:type="dxa"/>
            <w:tcBorders>
              <w:bottom w:val="single" w:sz="4" w:space="0" w:color="000000"/>
              <w:right w:val="single" w:sz="4" w:space="0" w:color="000000"/>
            </w:tcBorders>
          </w:tcPr>
          <w:p>
            <w:pPr>
              <w:pStyle w:val="TableParagraph"/>
              <w:spacing w:before="58"/>
              <w:ind w:left="122"/>
              <w:rPr>
                <w:b/>
                <w:sz w:val="20"/>
              </w:rPr>
            </w:pPr>
            <w:r>
              <w:rPr>
                <w:b/>
                <w:sz w:val="20"/>
              </w:rPr>
              <w:t>Стопа</w:t>
            </w:r>
            <w:r>
              <w:rPr>
                <w:b/>
                <w:spacing w:val="-10"/>
                <w:sz w:val="20"/>
              </w:rPr>
              <w:t> </w:t>
            </w:r>
            <w:r>
              <w:rPr>
                <w:b/>
                <w:sz w:val="20"/>
              </w:rPr>
              <w:t>дугорочне</w:t>
            </w:r>
            <w:r>
              <w:rPr>
                <w:b/>
                <w:spacing w:val="-10"/>
                <w:sz w:val="20"/>
              </w:rPr>
              <w:t> </w:t>
            </w:r>
            <w:r>
              <w:rPr>
                <w:b/>
                <w:sz w:val="20"/>
              </w:rPr>
              <w:t>незапослености,</w:t>
            </w:r>
            <w:r>
              <w:rPr>
                <w:b/>
                <w:spacing w:val="-11"/>
                <w:sz w:val="20"/>
              </w:rPr>
              <w:t> </w:t>
            </w:r>
            <w:r>
              <w:rPr>
                <w:b/>
                <w:spacing w:val="-10"/>
                <w:sz w:val="20"/>
              </w:rPr>
              <w:t>%</w:t>
            </w:r>
          </w:p>
        </w:tc>
        <w:tc>
          <w:tcPr>
            <w:tcW w:w="1000" w:type="dxa"/>
            <w:tcBorders>
              <w:left w:val="single" w:sz="4" w:space="0" w:color="000000"/>
              <w:bottom w:val="single" w:sz="4" w:space="0" w:color="000000"/>
            </w:tcBorders>
          </w:tcPr>
          <w:p>
            <w:pPr>
              <w:pStyle w:val="TableParagraph"/>
              <w:spacing w:before="58"/>
              <w:ind w:right="234"/>
              <w:jc w:val="right"/>
              <w:rPr>
                <w:b/>
                <w:sz w:val="20"/>
              </w:rPr>
            </w:pPr>
            <w:r>
              <w:rPr>
                <w:b/>
                <w:spacing w:val="-4"/>
                <w:sz w:val="20"/>
              </w:rPr>
              <w:t>10,9</w:t>
            </w:r>
          </w:p>
        </w:tc>
        <w:tc>
          <w:tcPr>
            <w:tcW w:w="871" w:type="dxa"/>
            <w:tcBorders>
              <w:bottom w:val="single" w:sz="4" w:space="0" w:color="000000"/>
            </w:tcBorders>
          </w:tcPr>
          <w:p>
            <w:pPr>
              <w:pStyle w:val="TableParagraph"/>
              <w:spacing w:before="58"/>
              <w:ind w:right="234"/>
              <w:jc w:val="right"/>
              <w:rPr>
                <w:b/>
                <w:sz w:val="20"/>
              </w:rPr>
            </w:pPr>
            <w:r>
              <w:rPr>
                <w:b/>
                <w:spacing w:val="-5"/>
                <w:sz w:val="20"/>
              </w:rPr>
              <w:t>9,4</w:t>
            </w:r>
          </w:p>
        </w:tc>
        <w:tc>
          <w:tcPr>
            <w:tcW w:w="871" w:type="dxa"/>
            <w:tcBorders>
              <w:bottom w:val="single" w:sz="4" w:space="0" w:color="000000"/>
            </w:tcBorders>
          </w:tcPr>
          <w:p>
            <w:pPr>
              <w:pStyle w:val="TableParagraph"/>
              <w:spacing w:before="58"/>
              <w:ind w:right="235"/>
              <w:jc w:val="right"/>
              <w:rPr>
                <w:b/>
                <w:sz w:val="20"/>
              </w:rPr>
            </w:pPr>
            <w:r>
              <w:rPr>
                <w:b/>
                <w:spacing w:val="-5"/>
                <w:sz w:val="20"/>
              </w:rPr>
              <w:t>7,4</w:t>
            </w:r>
          </w:p>
        </w:tc>
        <w:tc>
          <w:tcPr>
            <w:tcW w:w="872" w:type="dxa"/>
            <w:tcBorders>
              <w:bottom w:val="single" w:sz="4" w:space="0" w:color="000000"/>
            </w:tcBorders>
          </w:tcPr>
          <w:p>
            <w:pPr>
              <w:pStyle w:val="TableParagraph"/>
              <w:spacing w:before="58"/>
              <w:ind w:left="147" w:right="3"/>
              <w:jc w:val="center"/>
              <w:rPr>
                <w:b/>
                <w:sz w:val="20"/>
              </w:rPr>
            </w:pPr>
            <w:r>
              <w:rPr>
                <w:b/>
                <w:spacing w:val="-5"/>
                <w:sz w:val="20"/>
              </w:rPr>
              <w:t>6,7</w:t>
            </w:r>
          </w:p>
        </w:tc>
        <w:tc>
          <w:tcPr>
            <w:tcW w:w="746" w:type="dxa"/>
            <w:tcBorders>
              <w:bottom w:val="single" w:sz="4" w:space="0" w:color="000000"/>
              <w:right w:val="single" w:sz="4" w:space="0" w:color="000000"/>
            </w:tcBorders>
          </w:tcPr>
          <w:p>
            <w:pPr>
              <w:pStyle w:val="TableParagraph"/>
              <w:spacing w:before="58"/>
              <w:ind w:left="273"/>
              <w:jc w:val="center"/>
              <w:rPr>
                <w:b/>
                <w:sz w:val="20"/>
              </w:rPr>
            </w:pPr>
            <w:r>
              <w:rPr>
                <w:b/>
                <w:spacing w:val="-5"/>
                <w:sz w:val="20"/>
              </w:rPr>
              <w:t>5,5</w:t>
            </w:r>
          </w:p>
        </w:tc>
        <w:tc>
          <w:tcPr>
            <w:tcW w:w="1120" w:type="dxa"/>
            <w:tcBorders>
              <w:left w:val="single" w:sz="4" w:space="0" w:color="000000"/>
              <w:bottom w:val="single" w:sz="4" w:space="0" w:color="000000"/>
            </w:tcBorders>
          </w:tcPr>
          <w:p>
            <w:pPr>
              <w:pStyle w:val="TableParagraph"/>
              <w:spacing w:before="58"/>
              <w:ind w:left="2" w:right="12"/>
              <w:jc w:val="center"/>
              <w:rPr>
                <w:b/>
                <w:sz w:val="20"/>
              </w:rPr>
            </w:pPr>
            <w:r>
              <w:rPr>
                <w:b/>
                <w:spacing w:val="-2"/>
                <w:sz w:val="20"/>
              </w:rPr>
              <w:t>-</w:t>
            </w:r>
            <w:r>
              <w:rPr>
                <w:b/>
                <w:spacing w:val="-5"/>
                <w:sz w:val="20"/>
              </w:rPr>
              <w:t>5,4</w:t>
            </w:r>
          </w:p>
        </w:tc>
      </w:tr>
    </w:tbl>
    <w:p>
      <w:pPr>
        <w:spacing w:before="0"/>
        <w:ind w:left="360" w:right="0" w:firstLine="0"/>
        <w:jc w:val="both"/>
        <w:rPr>
          <w:i/>
          <w:sz w:val="20"/>
        </w:rPr>
      </w:pPr>
      <w:r>
        <w:rPr>
          <w:i/>
          <w:sz w:val="20"/>
        </w:rPr>
        <w:t>Извор:</w:t>
      </w:r>
      <w:r>
        <w:rPr>
          <w:i/>
          <w:spacing w:val="-6"/>
          <w:sz w:val="20"/>
        </w:rPr>
        <w:t> </w:t>
      </w:r>
      <w:r>
        <w:rPr>
          <w:i/>
          <w:sz w:val="20"/>
        </w:rPr>
        <w:t>АРС,</w:t>
      </w:r>
      <w:r>
        <w:rPr>
          <w:i/>
          <w:spacing w:val="-6"/>
          <w:sz w:val="20"/>
        </w:rPr>
        <w:t> </w:t>
      </w:r>
      <w:r>
        <w:rPr>
          <w:i/>
          <w:spacing w:val="-5"/>
          <w:sz w:val="20"/>
        </w:rPr>
        <w:t>РЗС</w:t>
      </w:r>
    </w:p>
    <w:p>
      <w:pPr>
        <w:pStyle w:val="BodyText"/>
        <w:spacing w:before="115"/>
        <w:ind w:right="713" w:firstLine="719"/>
      </w:pPr>
      <w:r>
        <w:rPr/>
        <w:t>Стопа дугорочне незапослености, као однос броја дугорочно незапослених и активног</w:t>
      </w:r>
      <w:r>
        <w:rPr>
          <w:spacing w:val="-7"/>
        </w:rPr>
        <w:t> </w:t>
      </w:r>
      <w:r>
        <w:rPr/>
        <w:t>становништва</w:t>
      </w:r>
      <w:r>
        <w:rPr>
          <w:spacing w:val="-10"/>
        </w:rPr>
        <w:t> </w:t>
      </w:r>
      <w:r>
        <w:rPr/>
        <w:t>радног</w:t>
      </w:r>
      <w:r>
        <w:rPr>
          <w:spacing w:val="-5"/>
        </w:rPr>
        <w:t> </w:t>
      </w:r>
      <w:r>
        <w:rPr/>
        <w:t>узраста,</w:t>
      </w:r>
      <w:r>
        <w:rPr>
          <w:spacing w:val="-8"/>
        </w:rPr>
        <w:t> </w:t>
      </w:r>
      <w:r>
        <w:rPr/>
        <w:t>која</w:t>
      </w:r>
      <w:r>
        <w:rPr>
          <w:spacing w:val="-8"/>
        </w:rPr>
        <w:t> </w:t>
      </w:r>
      <w:r>
        <w:rPr/>
        <w:t>је</w:t>
      </w:r>
      <w:r>
        <w:rPr>
          <w:spacing w:val="-8"/>
        </w:rPr>
        <w:t> </w:t>
      </w:r>
      <w:r>
        <w:rPr/>
        <w:t>износила</w:t>
      </w:r>
      <w:r>
        <w:rPr>
          <w:spacing w:val="-8"/>
        </w:rPr>
        <w:t> </w:t>
      </w:r>
      <w:r>
        <w:rPr/>
        <w:t>5,5%</w:t>
      </w:r>
      <w:r>
        <w:rPr>
          <w:spacing w:val="-6"/>
        </w:rPr>
        <w:t> </w:t>
      </w:r>
      <w:r>
        <w:rPr/>
        <w:t>у</w:t>
      </w:r>
      <w:r>
        <w:rPr>
          <w:spacing w:val="-14"/>
        </w:rPr>
        <w:t> </w:t>
      </w:r>
      <w:r>
        <w:rPr/>
        <w:t>2019.</w:t>
      </w:r>
      <w:r>
        <w:rPr>
          <w:spacing w:val="-7"/>
        </w:rPr>
        <w:t> </w:t>
      </w:r>
      <w:r>
        <w:rPr/>
        <w:t>години,</w:t>
      </w:r>
      <w:r>
        <w:rPr>
          <w:spacing w:val="-7"/>
        </w:rPr>
        <w:t> </w:t>
      </w:r>
      <w:r>
        <w:rPr/>
        <w:t>опала</w:t>
      </w:r>
      <w:r>
        <w:rPr>
          <w:spacing w:val="-8"/>
        </w:rPr>
        <w:t> </w:t>
      </w:r>
      <w:r>
        <w:rPr/>
        <w:t>је</w:t>
      </w:r>
      <w:r>
        <w:rPr>
          <w:spacing w:val="-8"/>
        </w:rPr>
        <w:t> </w:t>
      </w:r>
      <w:r>
        <w:rPr/>
        <w:t>за</w:t>
      </w:r>
      <w:r>
        <w:rPr>
          <w:spacing w:val="-8"/>
        </w:rPr>
        <w:t> </w:t>
      </w:r>
      <w:r>
        <w:rPr/>
        <w:t>5,4 п.п. у периоду 2015-2019. године.</w:t>
      </w:r>
    </w:p>
    <w:p>
      <w:pPr>
        <w:spacing w:before="121"/>
        <w:ind w:left="1080" w:right="0" w:firstLine="0"/>
        <w:jc w:val="both"/>
        <w:rPr>
          <w:i/>
          <w:sz w:val="24"/>
        </w:rPr>
      </w:pPr>
      <w:r>
        <w:rPr>
          <w:i/>
          <w:sz w:val="24"/>
        </w:rPr>
        <w:t>Особе</w:t>
      </w:r>
      <w:r>
        <w:rPr>
          <w:i/>
          <w:spacing w:val="-2"/>
          <w:sz w:val="24"/>
        </w:rPr>
        <w:t> </w:t>
      </w:r>
      <w:r>
        <w:rPr>
          <w:i/>
          <w:sz w:val="24"/>
        </w:rPr>
        <w:t>са</w:t>
      </w:r>
      <w:r>
        <w:rPr>
          <w:i/>
          <w:spacing w:val="-1"/>
          <w:sz w:val="24"/>
        </w:rPr>
        <w:t> </w:t>
      </w:r>
      <w:r>
        <w:rPr>
          <w:i/>
          <w:spacing w:val="-2"/>
          <w:sz w:val="24"/>
        </w:rPr>
        <w:t>инвалидитетом</w:t>
      </w:r>
    </w:p>
    <w:p>
      <w:pPr>
        <w:pStyle w:val="BodyText"/>
        <w:spacing w:before="120"/>
        <w:ind w:right="715" w:firstLine="719"/>
      </w:pPr>
      <w:r>
        <w:rPr/>
        <w:t>Особе</w:t>
      </w:r>
      <w:r>
        <w:rPr>
          <w:spacing w:val="-15"/>
        </w:rPr>
        <w:t> </w:t>
      </w:r>
      <w:r>
        <w:rPr/>
        <w:t>са</w:t>
      </w:r>
      <w:r>
        <w:rPr>
          <w:spacing w:val="-15"/>
        </w:rPr>
        <w:t> </w:t>
      </w:r>
      <w:r>
        <w:rPr/>
        <w:t>инвалидитетом</w:t>
      </w:r>
      <w:r>
        <w:rPr>
          <w:spacing w:val="-15"/>
        </w:rPr>
        <w:t> </w:t>
      </w:r>
      <w:r>
        <w:rPr/>
        <w:t>(ОСИ)</w:t>
      </w:r>
      <w:r>
        <w:rPr>
          <w:spacing w:val="-15"/>
        </w:rPr>
        <w:t> </w:t>
      </w:r>
      <w:r>
        <w:rPr/>
        <w:t>често</w:t>
      </w:r>
      <w:r>
        <w:rPr>
          <w:spacing w:val="-15"/>
        </w:rPr>
        <w:t> </w:t>
      </w:r>
      <w:r>
        <w:rPr/>
        <w:t>су</w:t>
      </w:r>
      <w:r>
        <w:rPr>
          <w:spacing w:val="-15"/>
        </w:rPr>
        <w:t> </w:t>
      </w:r>
      <w:r>
        <w:rPr/>
        <w:t>суочене</w:t>
      </w:r>
      <w:r>
        <w:rPr>
          <w:spacing w:val="-15"/>
        </w:rPr>
        <w:t> </w:t>
      </w:r>
      <w:r>
        <w:rPr/>
        <w:t>са</w:t>
      </w:r>
      <w:r>
        <w:rPr>
          <w:spacing w:val="-15"/>
        </w:rPr>
        <w:t> </w:t>
      </w:r>
      <w:r>
        <w:rPr/>
        <w:t>дискриминацијом,</w:t>
      </w:r>
      <w:r>
        <w:rPr>
          <w:spacing w:val="-15"/>
        </w:rPr>
        <w:t> </w:t>
      </w:r>
      <w:r>
        <w:rPr/>
        <w:t>углавном</w:t>
      </w:r>
      <w:r>
        <w:rPr>
          <w:spacing w:val="-15"/>
        </w:rPr>
        <w:t> </w:t>
      </w:r>
      <w:r>
        <w:rPr/>
        <w:t>због ограниченог</w:t>
      </w:r>
      <w:r>
        <w:rPr>
          <w:spacing w:val="-9"/>
        </w:rPr>
        <w:t> </w:t>
      </w:r>
      <w:r>
        <w:rPr/>
        <w:t>приступа</w:t>
      </w:r>
      <w:r>
        <w:rPr>
          <w:spacing w:val="-9"/>
        </w:rPr>
        <w:t> </w:t>
      </w:r>
      <w:r>
        <w:rPr/>
        <w:t>њиховим</w:t>
      </w:r>
      <w:r>
        <w:rPr>
          <w:spacing w:val="-8"/>
        </w:rPr>
        <w:t> </w:t>
      </w:r>
      <w:r>
        <w:rPr/>
        <w:t>уставним</w:t>
      </w:r>
      <w:r>
        <w:rPr>
          <w:spacing w:val="-9"/>
        </w:rPr>
        <w:t> </w:t>
      </w:r>
      <w:r>
        <w:rPr/>
        <w:t>и</w:t>
      </w:r>
      <w:r>
        <w:rPr>
          <w:spacing w:val="-8"/>
        </w:rPr>
        <w:t> </w:t>
      </w:r>
      <w:r>
        <w:rPr/>
        <w:t>законским</w:t>
      </w:r>
      <w:r>
        <w:rPr>
          <w:spacing w:val="-11"/>
        </w:rPr>
        <w:t> </w:t>
      </w:r>
      <w:r>
        <w:rPr/>
        <w:t>правима</w:t>
      </w:r>
      <w:r>
        <w:rPr>
          <w:vertAlign w:val="superscript"/>
        </w:rPr>
        <w:t>29</w:t>
      </w:r>
      <w:r>
        <w:rPr>
          <w:vertAlign w:val="baseline"/>
        </w:rPr>
        <w:t>.</w:t>
      </w:r>
      <w:r>
        <w:rPr>
          <w:spacing w:val="-9"/>
          <w:vertAlign w:val="baseline"/>
        </w:rPr>
        <w:t> </w:t>
      </w:r>
      <w:r>
        <w:rPr>
          <w:vertAlign w:val="baseline"/>
        </w:rPr>
        <w:t>Главни</w:t>
      </w:r>
      <w:r>
        <w:rPr>
          <w:spacing w:val="-10"/>
          <w:vertAlign w:val="baseline"/>
        </w:rPr>
        <w:t> </w:t>
      </w:r>
      <w:r>
        <w:rPr>
          <w:vertAlign w:val="baseline"/>
        </w:rPr>
        <w:t>изазови</w:t>
      </w:r>
      <w:r>
        <w:rPr>
          <w:spacing w:val="-10"/>
          <w:vertAlign w:val="baseline"/>
        </w:rPr>
        <w:t> </w:t>
      </w:r>
      <w:r>
        <w:rPr>
          <w:vertAlign w:val="baseline"/>
        </w:rPr>
        <w:t>са</w:t>
      </w:r>
      <w:r>
        <w:rPr>
          <w:spacing w:val="-9"/>
          <w:vertAlign w:val="baseline"/>
        </w:rPr>
        <w:t> </w:t>
      </w:r>
      <w:r>
        <w:rPr>
          <w:vertAlign w:val="baseline"/>
        </w:rPr>
        <w:t>којима се ОСИ суочавају укључују: препреке при кретању и коришћењу јавног превоза; приступ различитим јавним објектима, услугама и информацијама; приступ запослењу и могућностима</w:t>
      </w:r>
      <w:r>
        <w:rPr>
          <w:spacing w:val="-10"/>
          <w:vertAlign w:val="baseline"/>
        </w:rPr>
        <w:t> </w:t>
      </w:r>
      <w:r>
        <w:rPr>
          <w:vertAlign w:val="baseline"/>
        </w:rPr>
        <w:t>за</w:t>
      </w:r>
      <w:r>
        <w:rPr>
          <w:spacing w:val="-10"/>
          <w:vertAlign w:val="baseline"/>
        </w:rPr>
        <w:t> </w:t>
      </w:r>
      <w:r>
        <w:rPr>
          <w:vertAlign w:val="baseline"/>
        </w:rPr>
        <w:t>разумно</w:t>
      </w:r>
      <w:r>
        <w:rPr>
          <w:spacing w:val="-8"/>
          <w:vertAlign w:val="baseline"/>
        </w:rPr>
        <w:t> </w:t>
      </w:r>
      <w:r>
        <w:rPr>
          <w:vertAlign w:val="baseline"/>
        </w:rPr>
        <w:t>прилагођавање</w:t>
      </w:r>
      <w:r>
        <w:rPr>
          <w:spacing w:val="-5"/>
          <w:vertAlign w:val="baseline"/>
        </w:rPr>
        <w:t> </w:t>
      </w:r>
      <w:r>
        <w:rPr>
          <w:vertAlign w:val="baseline"/>
        </w:rPr>
        <w:t>услова</w:t>
      </w:r>
      <w:r>
        <w:rPr>
          <w:spacing w:val="-10"/>
          <w:vertAlign w:val="baseline"/>
        </w:rPr>
        <w:t> </w:t>
      </w:r>
      <w:r>
        <w:rPr>
          <w:vertAlign w:val="baseline"/>
        </w:rPr>
        <w:t>на</w:t>
      </w:r>
      <w:r>
        <w:rPr>
          <w:spacing w:val="-10"/>
          <w:vertAlign w:val="baseline"/>
        </w:rPr>
        <w:t> </w:t>
      </w:r>
      <w:r>
        <w:rPr>
          <w:vertAlign w:val="baseline"/>
        </w:rPr>
        <w:t>радним</w:t>
      </w:r>
      <w:r>
        <w:rPr>
          <w:spacing w:val="-10"/>
          <w:vertAlign w:val="baseline"/>
        </w:rPr>
        <w:t> </w:t>
      </w:r>
      <w:r>
        <w:rPr>
          <w:vertAlign w:val="baseline"/>
        </w:rPr>
        <w:t>местима;</w:t>
      </w:r>
      <w:r>
        <w:rPr>
          <w:spacing w:val="-6"/>
          <w:vertAlign w:val="baseline"/>
        </w:rPr>
        <w:t> </w:t>
      </w:r>
      <w:r>
        <w:rPr>
          <w:vertAlign w:val="baseline"/>
        </w:rPr>
        <w:t>приступ</w:t>
      </w:r>
      <w:r>
        <w:rPr>
          <w:spacing w:val="-8"/>
          <w:vertAlign w:val="baseline"/>
        </w:rPr>
        <w:t> </w:t>
      </w:r>
      <w:r>
        <w:rPr>
          <w:vertAlign w:val="baseline"/>
        </w:rPr>
        <w:t>образовању</w:t>
      </w:r>
      <w:r>
        <w:rPr>
          <w:spacing w:val="-13"/>
          <w:vertAlign w:val="baseline"/>
        </w:rPr>
        <w:t> </w:t>
      </w:r>
      <w:r>
        <w:rPr>
          <w:vertAlign w:val="baseline"/>
        </w:rPr>
        <w:t>и професионалној обуци.</w:t>
      </w:r>
    </w:p>
    <w:p>
      <w:pPr>
        <w:pStyle w:val="BodyText"/>
        <w:spacing w:before="120"/>
        <w:ind w:right="715" w:firstLine="719"/>
      </w:pPr>
      <w:r>
        <w:rPr/>
        <w:t>Просечан број ОСИ које су спремне за активно тражење посла (нису привремено спречени</w:t>
      </w:r>
      <w:r>
        <w:rPr>
          <w:spacing w:val="23"/>
        </w:rPr>
        <w:t> </w:t>
      </w:r>
      <w:r>
        <w:rPr/>
        <w:t>за</w:t>
      </w:r>
      <w:r>
        <w:rPr>
          <w:spacing w:val="23"/>
        </w:rPr>
        <w:t> </w:t>
      </w:r>
      <w:r>
        <w:rPr/>
        <w:t>рад</w:t>
      </w:r>
      <w:r>
        <w:rPr>
          <w:spacing w:val="24"/>
        </w:rPr>
        <w:t> </w:t>
      </w:r>
      <w:r>
        <w:rPr/>
        <w:t>због</w:t>
      </w:r>
      <w:r>
        <w:rPr>
          <w:spacing w:val="24"/>
        </w:rPr>
        <w:t> </w:t>
      </w:r>
      <w:r>
        <w:rPr/>
        <w:t>болести</w:t>
      </w:r>
      <w:r>
        <w:rPr>
          <w:spacing w:val="25"/>
        </w:rPr>
        <w:t> </w:t>
      </w:r>
      <w:r>
        <w:rPr/>
        <w:t>и</w:t>
      </w:r>
      <w:r>
        <w:rPr>
          <w:spacing w:val="25"/>
        </w:rPr>
        <w:t> </w:t>
      </w:r>
      <w:r>
        <w:rPr/>
        <w:t>др.)</w:t>
      </w:r>
      <w:r>
        <w:rPr>
          <w:spacing w:val="23"/>
        </w:rPr>
        <w:t> </w:t>
      </w:r>
      <w:r>
        <w:rPr/>
        <w:t>на</w:t>
      </w:r>
      <w:r>
        <w:rPr>
          <w:spacing w:val="23"/>
        </w:rPr>
        <w:t> </w:t>
      </w:r>
      <w:r>
        <w:rPr/>
        <w:t>евиденцији</w:t>
      </w:r>
      <w:r>
        <w:rPr>
          <w:spacing w:val="23"/>
        </w:rPr>
        <w:t> </w:t>
      </w:r>
      <w:r>
        <w:rPr/>
        <w:t>незапослених</w:t>
      </w:r>
      <w:r>
        <w:rPr>
          <w:spacing w:val="26"/>
        </w:rPr>
        <w:t> </w:t>
      </w:r>
      <w:r>
        <w:rPr/>
        <w:t>лица</w:t>
      </w:r>
      <w:r>
        <w:rPr>
          <w:spacing w:val="23"/>
        </w:rPr>
        <w:t> </w:t>
      </w:r>
      <w:r>
        <w:rPr/>
        <w:t>НСЗ,</w:t>
      </w:r>
      <w:r>
        <w:rPr>
          <w:spacing w:val="24"/>
        </w:rPr>
        <w:t> </w:t>
      </w:r>
      <w:r>
        <w:rPr/>
        <w:t>смањио</w:t>
      </w:r>
      <w:r>
        <w:rPr>
          <w:spacing w:val="25"/>
        </w:rPr>
        <w:t> </w:t>
      </w:r>
      <w:r>
        <w:rPr/>
        <w:t>се</w:t>
      </w:r>
      <w:r>
        <w:rPr>
          <w:spacing w:val="28"/>
        </w:rPr>
        <w:t> </w:t>
      </w:r>
      <w:r>
        <w:rPr>
          <w:spacing w:val="-10"/>
        </w:rPr>
        <w:t>у</w:t>
      </w:r>
    </w:p>
    <w:p>
      <w:pPr>
        <w:pStyle w:val="BodyText"/>
        <w:spacing w:before="128"/>
        <w:ind w:left="0"/>
        <w:jc w:val="left"/>
        <w:rPr>
          <w:sz w:val="20"/>
        </w:rPr>
      </w:pPr>
      <w:r>
        <w:rPr>
          <w:sz w:val="20"/>
        </w:rPr>
        <mc:AlternateContent>
          <mc:Choice Requires="wps">
            <w:drawing>
              <wp:anchor distT="0" distB="0" distL="0" distR="0" allowOverlap="1" layoutInCell="1" locked="0" behindDoc="1" simplePos="0" relativeHeight="487596544">
                <wp:simplePos x="0" y="0"/>
                <wp:positionH relativeFrom="page">
                  <wp:posOffset>914704</wp:posOffset>
                </wp:positionH>
                <wp:positionV relativeFrom="paragraph">
                  <wp:posOffset>243142</wp:posOffset>
                </wp:positionV>
                <wp:extent cx="1829435" cy="9525"/>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145079pt;width:144.020pt;height:.71997pt;mso-position-horizontal-relative:page;mso-position-vertical-relative:paragraph;z-index:-15719936;mso-wrap-distance-left:0;mso-wrap-distance-right:0" id="docshape20" filled="true" fillcolor="#000000" stroked="false">
                <v:fill type="solid"/>
                <w10:wrap type="topAndBottom"/>
              </v:rect>
            </w:pict>
          </mc:Fallback>
        </mc:AlternateContent>
      </w:r>
    </w:p>
    <w:p>
      <w:pPr>
        <w:spacing w:line="247" w:lineRule="auto" w:before="115"/>
        <w:ind w:left="360" w:right="0" w:firstLine="0"/>
        <w:jc w:val="left"/>
        <w:rPr>
          <w:sz w:val="18"/>
        </w:rPr>
      </w:pPr>
      <w:r>
        <w:rPr>
          <w:sz w:val="18"/>
          <w:vertAlign w:val="superscript"/>
        </w:rPr>
        <w:t>29</w:t>
      </w:r>
      <w:r>
        <w:rPr>
          <w:spacing w:val="40"/>
          <w:sz w:val="18"/>
          <w:vertAlign w:val="baseline"/>
        </w:rPr>
        <w:t> </w:t>
      </w:r>
      <w:r>
        <w:rPr>
          <w:sz w:val="18"/>
          <w:vertAlign w:val="baseline"/>
        </w:rPr>
        <w:t>Према</w:t>
      </w:r>
      <w:r>
        <w:rPr>
          <w:spacing w:val="40"/>
          <w:sz w:val="18"/>
          <w:vertAlign w:val="baseline"/>
        </w:rPr>
        <w:t> </w:t>
      </w:r>
      <w:r>
        <w:rPr>
          <w:sz w:val="18"/>
          <w:vertAlign w:val="baseline"/>
        </w:rPr>
        <w:t>годишњим</w:t>
      </w:r>
      <w:r>
        <w:rPr>
          <w:spacing w:val="40"/>
          <w:sz w:val="18"/>
          <w:vertAlign w:val="baseline"/>
        </w:rPr>
        <w:t> </w:t>
      </w:r>
      <w:r>
        <w:rPr>
          <w:sz w:val="18"/>
          <w:vertAlign w:val="baseline"/>
        </w:rPr>
        <w:t>извештајима</w:t>
      </w:r>
      <w:r>
        <w:rPr>
          <w:spacing w:val="40"/>
          <w:sz w:val="18"/>
          <w:vertAlign w:val="baseline"/>
        </w:rPr>
        <w:t> </w:t>
      </w:r>
      <w:r>
        <w:rPr>
          <w:sz w:val="18"/>
          <w:vertAlign w:val="baseline"/>
        </w:rPr>
        <w:t>Повереника</w:t>
      </w:r>
      <w:r>
        <w:rPr>
          <w:spacing w:val="40"/>
          <w:sz w:val="18"/>
          <w:vertAlign w:val="baseline"/>
        </w:rPr>
        <w:t> </w:t>
      </w:r>
      <w:r>
        <w:rPr>
          <w:sz w:val="18"/>
          <w:vertAlign w:val="baseline"/>
        </w:rPr>
        <w:t>за</w:t>
      </w:r>
      <w:r>
        <w:rPr>
          <w:spacing w:val="40"/>
          <w:sz w:val="18"/>
          <w:vertAlign w:val="baseline"/>
        </w:rPr>
        <w:t> </w:t>
      </w:r>
      <w:r>
        <w:rPr>
          <w:sz w:val="18"/>
          <w:vertAlign w:val="baseline"/>
        </w:rPr>
        <w:t>равноправност,</w:t>
      </w:r>
      <w:r>
        <w:rPr>
          <w:spacing w:val="40"/>
          <w:sz w:val="18"/>
          <w:vertAlign w:val="baseline"/>
        </w:rPr>
        <w:t> </w:t>
      </w:r>
      <w:r>
        <w:rPr>
          <w:sz w:val="18"/>
          <w:vertAlign w:val="baseline"/>
        </w:rPr>
        <w:t>више</w:t>
      </w:r>
      <w:r>
        <w:rPr>
          <w:spacing w:val="40"/>
          <w:sz w:val="18"/>
          <w:vertAlign w:val="baseline"/>
        </w:rPr>
        <w:t> </w:t>
      </w:r>
      <w:r>
        <w:rPr>
          <w:sz w:val="18"/>
          <w:vertAlign w:val="baseline"/>
        </w:rPr>
        <w:t>од</w:t>
      </w:r>
      <w:r>
        <w:rPr>
          <w:spacing w:val="40"/>
          <w:sz w:val="18"/>
          <w:vertAlign w:val="baseline"/>
        </w:rPr>
        <w:t> </w:t>
      </w:r>
      <w:r>
        <w:rPr>
          <w:sz w:val="18"/>
          <w:vertAlign w:val="baseline"/>
        </w:rPr>
        <w:t>четвртине</w:t>
      </w:r>
      <w:r>
        <w:rPr>
          <w:spacing w:val="40"/>
          <w:sz w:val="18"/>
          <w:vertAlign w:val="baseline"/>
        </w:rPr>
        <w:t> </w:t>
      </w:r>
      <w:r>
        <w:rPr>
          <w:sz w:val="18"/>
          <w:vertAlign w:val="baseline"/>
        </w:rPr>
        <w:t>укупног</w:t>
      </w:r>
      <w:r>
        <w:rPr>
          <w:spacing w:val="40"/>
          <w:sz w:val="18"/>
          <w:vertAlign w:val="baseline"/>
        </w:rPr>
        <w:t> </w:t>
      </w:r>
      <w:r>
        <w:rPr>
          <w:sz w:val="18"/>
          <w:vertAlign w:val="baseline"/>
        </w:rPr>
        <w:t>броја</w:t>
      </w:r>
      <w:r>
        <w:rPr>
          <w:spacing w:val="40"/>
          <w:sz w:val="18"/>
          <w:vertAlign w:val="baseline"/>
        </w:rPr>
        <w:t> </w:t>
      </w:r>
      <w:r>
        <w:rPr>
          <w:sz w:val="18"/>
          <w:vertAlign w:val="baseline"/>
        </w:rPr>
        <w:t>приговора</w:t>
      </w:r>
      <w:r>
        <w:rPr>
          <w:spacing w:val="40"/>
          <w:sz w:val="18"/>
          <w:vertAlign w:val="baseline"/>
        </w:rPr>
        <w:t> </w:t>
      </w:r>
      <w:r>
        <w:rPr>
          <w:sz w:val="18"/>
          <w:vertAlign w:val="baseline"/>
        </w:rPr>
        <w:t>овој институцији везаних за дискриминацију односе се на ОСИ. </w:t>
      </w:r>
      <w:hyperlink r:id="rId13">
        <w:r>
          <w:rPr>
            <w:color w:val="0462C1"/>
            <w:sz w:val="18"/>
            <w:u w:val="single" w:color="0462C1"/>
            <w:vertAlign w:val="baseline"/>
          </w:rPr>
          <w:t>http://ravnopravnost.gov.rs/rs/izvestaji/</w:t>
        </w:r>
      </w:hyperlink>
    </w:p>
    <w:p>
      <w:pPr>
        <w:spacing w:after="0" w:line="247" w:lineRule="auto"/>
        <w:jc w:val="left"/>
        <w:rPr>
          <w:sz w:val="18"/>
        </w:rPr>
        <w:sectPr>
          <w:pgSz w:w="12240" w:h="15840"/>
          <w:pgMar w:header="0" w:footer="702" w:top="1360" w:bottom="900" w:left="1080" w:right="720"/>
        </w:sectPr>
      </w:pPr>
    </w:p>
    <w:p>
      <w:pPr>
        <w:pStyle w:val="BodyText"/>
        <w:spacing w:before="72"/>
        <w:ind w:right="713"/>
        <w:jc w:val="left"/>
      </w:pPr>
      <w:r>
        <w:rPr/>
        <w:t>периоду 2015-2019. године (за 1.912 лица), али се учешће ове категорије незапослених у</w:t>
      </w:r>
      <w:r>
        <w:rPr>
          <w:spacing w:val="80"/>
        </w:rPr>
        <w:t> </w:t>
      </w:r>
      <w:r>
        <w:rPr/>
        <w:t>укупној незапослености повећало за 0,5 п.п. (са 2,1% у 2015. на 2,6% у 2019. години).</w:t>
      </w:r>
    </w:p>
    <w:p>
      <w:pPr>
        <w:pStyle w:val="BodyText"/>
        <w:spacing w:before="122"/>
        <w:ind w:left="1567"/>
        <w:jc w:val="left"/>
      </w:pPr>
      <w:r>
        <w:rPr/>
        <w:t>Табела</w:t>
      </w:r>
      <w:r>
        <w:rPr>
          <w:spacing w:val="-5"/>
        </w:rPr>
        <w:t> </w:t>
      </w:r>
      <w:r>
        <w:rPr/>
        <w:t>10.</w:t>
      </w:r>
      <w:r>
        <w:rPr>
          <w:spacing w:val="61"/>
        </w:rPr>
        <w:t> </w:t>
      </w:r>
      <w:r>
        <w:rPr/>
        <w:t>Особе</w:t>
      </w:r>
      <w:r>
        <w:rPr>
          <w:spacing w:val="-2"/>
        </w:rPr>
        <w:t> </w:t>
      </w:r>
      <w:r>
        <w:rPr/>
        <w:t>са</w:t>
      </w:r>
      <w:r>
        <w:rPr>
          <w:spacing w:val="-3"/>
        </w:rPr>
        <w:t> </w:t>
      </w:r>
      <w:r>
        <w:rPr/>
        <w:t>инвалидитетом на</w:t>
      </w:r>
      <w:r>
        <w:rPr>
          <w:spacing w:val="-3"/>
        </w:rPr>
        <w:t> </w:t>
      </w:r>
      <w:r>
        <w:rPr/>
        <w:t>евиденцији</w:t>
      </w:r>
      <w:r>
        <w:rPr>
          <w:spacing w:val="1"/>
        </w:rPr>
        <w:t> </w:t>
      </w:r>
      <w:r>
        <w:rPr/>
        <w:t>НСЗ,</w:t>
      </w:r>
      <w:r>
        <w:rPr>
          <w:spacing w:val="-1"/>
        </w:rPr>
        <w:t> </w:t>
      </w:r>
      <w:r>
        <w:rPr>
          <w:spacing w:val="-2"/>
        </w:rPr>
        <w:t>2015–2019</w:t>
      </w:r>
    </w:p>
    <w:p>
      <w:pPr>
        <w:pStyle w:val="BodyText"/>
        <w:spacing w:before="3"/>
        <w:ind w:left="0"/>
        <w:jc w:val="left"/>
        <w:rPr>
          <w:sz w:val="13"/>
        </w:r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5"/>
        <w:gridCol w:w="1202"/>
        <w:gridCol w:w="1077"/>
        <w:gridCol w:w="1078"/>
        <w:gridCol w:w="1078"/>
        <w:gridCol w:w="953"/>
      </w:tblGrid>
      <w:tr>
        <w:trPr>
          <w:trHeight w:val="282" w:hRule="atLeast"/>
        </w:trPr>
        <w:tc>
          <w:tcPr>
            <w:tcW w:w="3985" w:type="dxa"/>
            <w:vMerge w:val="restart"/>
            <w:tcBorders>
              <w:left w:val="nil"/>
            </w:tcBorders>
          </w:tcPr>
          <w:p>
            <w:pPr>
              <w:pStyle w:val="TableParagraph"/>
              <w:rPr>
                <w:sz w:val="22"/>
              </w:rPr>
            </w:pPr>
          </w:p>
        </w:tc>
        <w:tc>
          <w:tcPr>
            <w:tcW w:w="1202" w:type="dxa"/>
            <w:tcBorders>
              <w:right w:val="nil"/>
            </w:tcBorders>
          </w:tcPr>
          <w:p>
            <w:pPr>
              <w:pStyle w:val="TableParagraph"/>
              <w:spacing w:before="38"/>
              <w:ind w:left="352"/>
              <w:rPr>
                <w:b/>
                <w:sz w:val="18"/>
              </w:rPr>
            </w:pPr>
            <w:r>
              <w:rPr>
                <w:b/>
                <w:spacing w:val="-4"/>
                <w:sz w:val="18"/>
              </w:rPr>
              <w:t>2015</w:t>
            </w:r>
          </w:p>
        </w:tc>
        <w:tc>
          <w:tcPr>
            <w:tcW w:w="1077" w:type="dxa"/>
            <w:tcBorders>
              <w:left w:val="nil"/>
              <w:right w:val="nil"/>
            </w:tcBorders>
          </w:tcPr>
          <w:p>
            <w:pPr>
              <w:pStyle w:val="TableParagraph"/>
              <w:spacing w:before="38"/>
              <w:ind w:left="230"/>
              <w:rPr>
                <w:b/>
                <w:sz w:val="18"/>
              </w:rPr>
            </w:pPr>
            <w:r>
              <w:rPr>
                <w:b/>
                <w:spacing w:val="-4"/>
                <w:sz w:val="18"/>
              </w:rPr>
              <w:t>2016</w:t>
            </w:r>
          </w:p>
        </w:tc>
        <w:tc>
          <w:tcPr>
            <w:tcW w:w="1078" w:type="dxa"/>
            <w:tcBorders>
              <w:left w:val="nil"/>
              <w:right w:val="nil"/>
            </w:tcBorders>
          </w:tcPr>
          <w:p>
            <w:pPr>
              <w:pStyle w:val="TableParagraph"/>
              <w:spacing w:before="38"/>
              <w:ind w:left="231"/>
              <w:rPr>
                <w:b/>
                <w:sz w:val="18"/>
              </w:rPr>
            </w:pPr>
            <w:r>
              <w:rPr>
                <w:b/>
                <w:spacing w:val="-4"/>
                <w:sz w:val="18"/>
              </w:rPr>
              <w:t>2017</w:t>
            </w:r>
          </w:p>
        </w:tc>
        <w:tc>
          <w:tcPr>
            <w:tcW w:w="1078" w:type="dxa"/>
            <w:tcBorders>
              <w:left w:val="nil"/>
              <w:right w:val="nil"/>
            </w:tcBorders>
          </w:tcPr>
          <w:p>
            <w:pPr>
              <w:pStyle w:val="TableParagraph"/>
              <w:spacing w:before="38"/>
              <w:ind w:left="230"/>
              <w:rPr>
                <w:b/>
                <w:sz w:val="18"/>
              </w:rPr>
            </w:pPr>
            <w:r>
              <w:rPr>
                <w:b/>
                <w:spacing w:val="-4"/>
                <w:sz w:val="18"/>
              </w:rPr>
              <w:t>2018</w:t>
            </w:r>
          </w:p>
        </w:tc>
        <w:tc>
          <w:tcPr>
            <w:tcW w:w="953" w:type="dxa"/>
            <w:tcBorders>
              <w:left w:val="nil"/>
              <w:right w:val="nil"/>
            </w:tcBorders>
          </w:tcPr>
          <w:p>
            <w:pPr>
              <w:pStyle w:val="TableParagraph"/>
              <w:spacing w:before="38"/>
              <w:ind w:left="231"/>
              <w:rPr>
                <w:b/>
                <w:sz w:val="18"/>
              </w:rPr>
            </w:pPr>
            <w:r>
              <w:rPr>
                <w:b/>
                <w:spacing w:val="-4"/>
                <w:sz w:val="18"/>
              </w:rPr>
              <w:t>2019</w:t>
            </w:r>
          </w:p>
        </w:tc>
      </w:tr>
      <w:tr>
        <w:trPr>
          <w:trHeight w:val="246" w:hRule="atLeast"/>
        </w:trPr>
        <w:tc>
          <w:tcPr>
            <w:tcW w:w="3985" w:type="dxa"/>
            <w:vMerge/>
            <w:tcBorders>
              <w:top w:val="nil"/>
              <w:left w:val="nil"/>
            </w:tcBorders>
          </w:tcPr>
          <w:p>
            <w:pPr>
              <w:rPr>
                <w:sz w:val="2"/>
                <w:szCs w:val="2"/>
              </w:rPr>
            </w:pPr>
          </w:p>
        </w:tc>
        <w:tc>
          <w:tcPr>
            <w:tcW w:w="5388" w:type="dxa"/>
            <w:gridSpan w:val="5"/>
            <w:tcBorders>
              <w:right w:val="nil"/>
            </w:tcBorders>
          </w:tcPr>
          <w:p>
            <w:pPr>
              <w:pStyle w:val="TableParagraph"/>
              <w:spacing w:before="16"/>
              <w:ind w:left="1629"/>
              <w:rPr>
                <w:sz w:val="18"/>
              </w:rPr>
            </w:pPr>
            <w:r>
              <w:rPr>
                <w:sz w:val="18"/>
              </w:rPr>
              <w:t>Број</w:t>
            </w:r>
            <w:r>
              <w:rPr>
                <w:spacing w:val="-3"/>
                <w:sz w:val="18"/>
              </w:rPr>
              <w:t> </w:t>
            </w:r>
            <w:r>
              <w:rPr>
                <w:sz w:val="18"/>
              </w:rPr>
              <w:t>лица,</w:t>
            </w:r>
            <w:r>
              <w:rPr>
                <w:spacing w:val="-2"/>
                <w:sz w:val="18"/>
              </w:rPr>
              <w:t> </w:t>
            </w:r>
            <w:r>
              <w:rPr>
                <w:sz w:val="18"/>
              </w:rPr>
              <w:t>годишњи</w:t>
            </w:r>
            <w:r>
              <w:rPr>
                <w:spacing w:val="-3"/>
                <w:sz w:val="18"/>
              </w:rPr>
              <w:t> </w:t>
            </w:r>
            <w:r>
              <w:rPr>
                <w:spacing w:val="-2"/>
                <w:sz w:val="18"/>
              </w:rPr>
              <w:t>просек</w:t>
            </w:r>
          </w:p>
        </w:tc>
      </w:tr>
      <w:tr>
        <w:trPr>
          <w:trHeight w:val="290" w:hRule="atLeast"/>
        </w:trPr>
        <w:tc>
          <w:tcPr>
            <w:tcW w:w="3985" w:type="dxa"/>
            <w:tcBorders>
              <w:left w:val="nil"/>
            </w:tcBorders>
          </w:tcPr>
          <w:p>
            <w:pPr>
              <w:pStyle w:val="TableParagraph"/>
              <w:spacing w:before="38"/>
              <w:ind w:left="122"/>
              <w:rPr>
                <w:sz w:val="18"/>
              </w:rPr>
            </w:pPr>
            <w:r>
              <w:rPr>
                <w:sz w:val="18"/>
              </w:rPr>
              <w:t>Незапослена</w:t>
            </w:r>
            <w:r>
              <w:rPr>
                <w:spacing w:val="-6"/>
                <w:sz w:val="18"/>
              </w:rPr>
              <w:t> </w:t>
            </w:r>
            <w:r>
              <w:rPr>
                <w:spacing w:val="-4"/>
                <w:sz w:val="18"/>
              </w:rPr>
              <w:t>лица</w:t>
            </w:r>
          </w:p>
        </w:tc>
        <w:tc>
          <w:tcPr>
            <w:tcW w:w="1202" w:type="dxa"/>
            <w:tcBorders>
              <w:right w:val="nil"/>
            </w:tcBorders>
          </w:tcPr>
          <w:p>
            <w:pPr>
              <w:pStyle w:val="TableParagraph"/>
              <w:spacing w:before="38"/>
              <w:ind w:right="230"/>
              <w:jc w:val="right"/>
              <w:rPr>
                <w:sz w:val="18"/>
              </w:rPr>
            </w:pPr>
            <w:r>
              <w:rPr>
                <w:spacing w:val="-2"/>
                <w:sz w:val="18"/>
              </w:rPr>
              <w:t>743.158</w:t>
            </w:r>
          </w:p>
        </w:tc>
        <w:tc>
          <w:tcPr>
            <w:tcW w:w="1077" w:type="dxa"/>
            <w:tcBorders>
              <w:left w:val="nil"/>
              <w:right w:val="nil"/>
            </w:tcBorders>
          </w:tcPr>
          <w:p>
            <w:pPr>
              <w:pStyle w:val="TableParagraph"/>
              <w:spacing w:before="38"/>
              <w:ind w:left="256"/>
              <w:rPr>
                <w:sz w:val="18"/>
              </w:rPr>
            </w:pPr>
            <w:r>
              <w:rPr>
                <w:spacing w:val="-2"/>
                <w:sz w:val="18"/>
              </w:rPr>
              <w:t>713.153</w:t>
            </w:r>
          </w:p>
        </w:tc>
        <w:tc>
          <w:tcPr>
            <w:tcW w:w="1078" w:type="dxa"/>
            <w:tcBorders>
              <w:left w:val="nil"/>
              <w:right w:val="nil"/>
            </w:tcBorders>
          </w:tcPr>
          <w:p>
            <w:pPr>
              <w:pStyle w:val="TableParagraph"/>
              <w:spacing w:before="38"/>
              <w:ind w:left="257"/>
              <w:rPr>
                <w:sz w:val="18"/>
              </w:rPr>
            </w:pPr>
            <w:r>
              <w:rPr>
                <w:spacing w:val="-2"/>
                <w:sz w:val="18"/>
              </w:rPr>
              <w:t>650.573</w:t>
            </w:r>
          </w:p>
        </w:tc>
        <w:tc>
          <w:tcPr>
            <w:tcW w:w="1078" w:type="dxa"/>
            <w:tcBorders>
              <w:left w:val="nil"/>
              <w:right w:val="nil"/>
            </w:tcBorders>
          </w:tcPr>
          <w:p>
            <w:pPr>
              <w:pStyle w:val="TableParagraph"/>
              <w:spacing w:before="38"/>
              <w:ind w:left="257"/>
              <w:rPr>
                <w:sz w:val="18"/>
              </w:rPr>
            </w:pPr>
            <w:r>
              <w:rPr>
                <w:spacing w:val="-2"/>
                <w:sz w:val="18"/>
              </w:rPr>
              <w:t>583.099</w:t>
            </w:r>
          </w:p>
        </w:tc>
        <w:tc>
          <w:tcPr>
            <w:tcW w:w="953" w:type="dxa"/>
            <w:tcBorders>
              <w:left w:val="nil"/>
              <w:right w:val="nil"/>
            </w:tcBorders>
          </w:tcPr>
          <w:p>
            <w:pPr>
              <w:pStyle w:val="TableParagraph"/>
              <w:spacing w:before="38"/>
              <w:ind w:right="107"/>
              <w:jc w:val="right"/>
              <w:rPr>
                <w:sz w:val="18"/>
              </w:rPr>
            </w:pPr>
            <w:r>
              <w:rPr>
                <w:spacing w:val="-2"/>
                <w:sz w:val="18"/>
              </w:rPr>
              <w:t>529.508</w:t>
            </w:r>
          </w:p>
        </w:tc>
      </w:tr>
      <w:tr>
        <w:trPr>
          <w:trHeight w:val="280" w:hRule="atLeast"/>
        </w:trPr>
        <w:tc>
          <w:tcPr>
            <w:tcW w:w="3985" w:type="dxa"/>
            <w:tcBorders>
              <w:left w:val="nil"/>
            </w:tcBorders>
          </w:tcPr>
          <w:p>
            <w:pPr>
              <w:pStyle w:val="TableParagraph"/>
              <w:spacing w:before="33"/>
              <w:ind w:left="122"/>
              <w:rPr>
                <w:sz w:val="18"/>
              </w:rPr>
            </w:pPr>
            <w:r>
              <w:rPr>
                <w:sz w:val="18"/>
              </w:rPr>
              <w:t>Особе</w:t>
            </w:r>
            <w:r>
              <w:rPr>
                <w:spacing w:val="-2"/>
                <w:sz w:val="18"/>
              </w:rPr>
              <w:t> </w:t>
            </w:r>
            <w:r>
              <w:rPr>
                <w:sz w:val="18"/>
              </w:rPr>
              <w:t>са</w:t>
            </w:r>
            <w:r>
              <w:rPr>
                <w:spacing w:val="-2"/>
                <w:sz w:val="18"/>
              </w:rPr>
              <w:t> инвалидитетом</w:t>
            </w:r>
          </w:p>
        </w:tc>
        <w:tc>
          <w:tcPr>
            <w:tcW w:w="1202" w:type="dxa"/>
            <w:tcBorders>
              <w:right w:val="nil"/>
            </w:tcBorders>
          </w:tcPr>
          <w:p>
            <w:pPr>
              <w:pStyle w:val="TableParagraph"/>
              <w:spacing w:before="33"/>
              <w:ind w:right="230"/>
              <w:jc w:val="right"/>
              <w:rPr>
                <w:sz w:val="18"/>
              </w:rPr>
            </w:pPr>
            <w:r>
              <w:rPr>
                <w:spacing w:val="-2"/>
                <w:sz w:val="18"/>
              </w:rPr>
              <w:t>15.429</w:t>
            </w:r>
          </w:p>
        </w:tc>
        <w:tc>
          <w:tcPr>
            <w:tcW w:w="1077" w:type="dxa"/>
            <w:tcBorders>
              <w:left w:val="nil"/>
              <w:right w:val="nil"/>
            </w:tcBorders>
          </w:tcPr>
          <w:p>
            <w:pPr>
              <w:pStyle w:val="TableParagraph"/>
              <w:spacing w:before="33"/>
              <w:ind w:right="231"/>
              <w:jc w:val="right"/>
              <w:rPr>
                <w:sz w:val="18"/>
              </w:rPr>
            </w:pPr>
            <w:r>
              <w:rPr>
                <w:spacing w:val="-2"/>
                <w:sz w:val="18"/>
              </w:rPr>
              <w:t>15.660</w:t>
            </w:r>
          </w:p>
        </w:tc>
        <w:tc>
          <w:tcPr>
            <w:tcW w:w="1078" w:type="dxa"/>
            <w:tcBorders>
              <w:left w:val="nil"/>
              <w:right w:val="nil"/>
            </w:tcBorders>
          </w:tcPr>
          <w:p>
            <w:pPr>
              <w:pStyle w:val="TableParagraph"/>
              <w:spacing w:before="33"/>
              <w:ind w:right="231"/>
              <w:jc w:val="right"/>
              <w:rPr>
                <w:sz w:val="18"/>
              </w:rPr>
            </w:pPr>
            <w:r>
              <w:rPr>
                <w:spacing w:val="-2"/>
                <w:sz w:val="18"/>
              </w:rPr>
              <w:t>14.906</w:t>
            </w:r>
          </w:p>
        </w:tc>
        <w:tc>
          <w:tcPr>
            <w:tcW w:w="1078" w:type="dxa"/>
            <w:tcBorders>
              <w:left w:val="nil"/>
              <w:right w:val="nil"/>
            </w:tcBorders>
          </w:tcPr>
          <w:p>
            <w:pPr>
              <w:pStyle w:val="TableParagraph"/>
              <w:spacing w:before="33"/>
              <w:ind w:right="232"/>
              <w:jc w:val="right"/>
              <w:rPr>
                <w:sz w:val="18"/>
              </w:rPr>
            </w:pPr>
            <w:r>
              <w:rPr>
                <w:spacing w:val="-2"/>
                <w:sz w:val="18"/>
              </w:rPr>
              <w:t>14.429</w:t>
            </w:r>
          </w:p>
        </w:tc>
        <w:tc>
          <w:tcPr>
            <w:tcW w:w="953" w:type="dxa"/>
            <w:tcBorders>
              <w:left w:val="nil"/>
              <w:right w:val="nil"/>
            </w:tcBorders>
          </w:tcPr>
          <w:p>
            <w:pPr>
              <w:pStyle w:val="TableParagraph"/>
              <w:spacing w:before="33"/>
              <w:ind w:right="107"/>
              <w:jc w:val="right"/>
              <w:rPr>
                <w:sz w:val="18"/>
              </w:rPr>
            </w:pPr>
            <w:r>
              <w:rPr>
                <w:spacing w:val="-2"/>
                <w:sz w:val="18"/>
              </w:rPr>
              <w:t>13.517</w:t>
            </w:r>
          </w:p>
        </w:tc>
      </w:tr>
      <w:tr>
        <w:trPr>
          <w:trHeight w:val="321" w:hRule="atLeast"/>
        </w:trPr>
        <w:tc>
          <w:tcPr>
            <w:tcW w:w="3985" w:type="dxa"/>
            <w:tcBorders>
              <w:left w:val="nil"/>
            </w:tcBorders>
          </w:tcPr>
          <w:p>
            <w:pPr>
              <w:pStyle w:val="TableParagraph"/>
              <w:spacing w:before="52"/>
              <w:ind w:left="484"/>
              <w:rPr>
                <w:i/>
                <w:sz w:val="18"/>
              </w:rPr>
            </w:pPr>
            <w:r>
              <w:rPr>
                <w:i/>
                <w:sz w:val="18"/>
              </w:rPr>
              <w:t>Учешће</w:t>
            </w:r>
            <w:r>
              <w:rPr>
                <w:i/>
                <w:spacing w:val="-3"/>
                <w:sz w:val="18"/>
              </w:rPr>
              <w:t> </w:t>
            </w:r>
            <w:r>
              <w:rPr>
                <w:i/>
                <w:sz w:val="18"/>
              </w:rPr>
              <w:t>у</w:t>
            </w:r>
            <w:r>
              <w:rPr>
                <w:i/>
                <w:spacing w:val="-2"/>
                <w:sz w:val="18"/>
              </w:rPr>
              <w:t> </w:t>
            </w:r>
            <w:r>
              <w:rPr>
                <w:i/>
                <w:sz w:val="18"/>
              </w:rPr>
              <w:t>укупном</w:t>
            </w:r>
            <w:r>
              <w:rPr>
                <w:i/>
                <w:spacing w:val="-4"/>
                <w:sz w:val="18"/>
              </w:rPr>
              <w:t> </w:t>
            </w:r>
            <w:r>
              <w:rPr>
                <w:i/>
                <w:sz w:val="18"/>
              </w:rPr>
              <w:t>броју</w:t>
            </w:r>
            <w:r>
              <w:rPr>
                <w:i/>
                <w:spacing w:val="-1"/>
                <w:sz w:val="18"/>
              </w:rPr>
              <w:t> </w:t>
            </w:r>
            <w:r>
              <w:rPr>
                <w:i/>
                <w:sz w:val="18"/>
              </w:rPr>
              <w:t>незапослених,</w:t>
            </w:r>
            <w:r>
              <w:rPr>
                <w:i/>
                <w:spacing w:val="2"/>
                <w:sz w:val="18"/>
              </w:rPr>
              <w:t> </w:t>
            </w:r>
            <w:r>
              <w:rPr>
                <w:i/>
                <w:spacing w:val="-10"/>
                <w:sz w:val="18"/>
              </w:rPr>
              <w:t>%</w:t>
            </w:r>
          </w:p>
        </w:tc>
        <w:tc>
          <w:tcPr>
            <w:tcW w:w="1202" w:type="dxa"/>
            <w:tcBorders>
              <w:right w:val="nil"/>
            </w:tcBorders>
          </w:tcPr>
          <w:p>
            <w:pPr>
              <w:pStyle w:val="TableParagraph"/>
              <w:spacing w:before="52"/>
              <w:ind w:right="230"/>
              <w:jc w:val="right"/>
              <w:rPr>
                <w:i/>
                <w:sz w:val="18"/>
              </w:rPr>
            </w:pPr>
            <w:r>
              <w:rPr>
                <w:i/>
                <w:spacing w:val="-5"/>
                <w:sz w:val="18"/>
              </w:rPr>
              <w:t>2,1</w:t>
            </w:r>
          </w:p>
        </w:tc>
        <w:tc>
          <w:tcPr>
            <w:tcW w:w="1077" w:type="dxa"/>
            <w:tcBorders>
              <w:left w:val="nil"/>
              <w:right w:val="nil"/>
            </w:tcBorders>
          </w:tcPr>
          <w:p>
            <w:pPr>
              <w:pStyle w:val="TableParagraph"/>
              <w:spacing w:before="52"/>
              <w:ind w:right="231"/>
              <w:jc w:val="right"/>
              <w:rPr>
                <w:i/>
                <w:sz w:val="18"/>
              </w:rPr>
            </w:pPr>
            <w:r>
              <w:rPr>
                <w:i/>
                <w:spacing w:val="-5"/>
                <w:sz w:val="18"/>
              </w:rPr>
              <w:t>2,2</w:t>
            </w:r>
          </w:p>
        </w:tc>
        <w:tc>
          <w:tcPr>
            <w:tcW w:w="1078" w:type="dxa"/>
            <w:tcBorders>
              <w:left w:val="nil"/>
              <w:right w:val="nil"/>
            </w:tcBorders>
          </w:tcPr>
          <w:p>
            <w:pPr>
              <w:pStyle w:val="TableParagraph"/>
              <w:spacing w:before="52"/>
              <w:ind w:right="231"/>
              <w:jc w:val="right"/>
              <w:rPr>
                <w:i/>
                <w:sz w:val="18"/>
              </w:rPr>
            </w:pPr>
            <w:r>
              <w:rPr>
                <w:i/>
                <w:spacing w:val="-5"/>
                <w:sz w:val="18"/>
              </w:rPr>
              <w:t>2,3</w:t>
            </w:r>
          </w:p>
        </w:tc>
        <w:tc>
          <w:tcPr>
            <w:tcW w:w="1078" w:type="dxa"/>
            <w:tcBorders>
              <w:left w:val="nil"/>
              <w:right w:val="nil"/>
            </w:tcBorders>
          </w:tcPr>
          <w:p>
            <w:pPr>
              <w:pStyle w:val="TableParagraph"/>
              <w:spacing w:before="52"/>
              <w:ind w:right="232"/>
              <w:jc w:val="right"/>
              <w:rPr>
                <w:i/>
                <w:sz w:val="18"/>
              </w:rPr>
            </w:pPr>
            <w:r>
              <w:rPr>
                <w:i/>
                <w:spacing w:val="-5"/>
                <w:sz w:val="18"/>
              </w:rPr>
              <w:t>2,5</w:t>
            </w:r>
          </w:p>
        </w:tc>
        <w:tc>
          <w:tcPr>
            <w:tcW w:w="953" w:type="dxa"/>
            <w:tcBorders>
              <w:left w:val="nil"/>
              <w:right w:val="nil"/>
            </w:tcBorders>
          </w:tcPr>
          <w:p>
            <w:pPr>
              <w:pStyle w:val="TableParagraph"/>
              <w:spacing w:before="52"/>
              <w:ind w:right="107"/>
              <w:jc w:val="right"/>
              <w:rPr>
                <w:i/>
                <w:sz w:val="18"/>
              </w:rPr>
            </w:pPr>
            <w:r>
              <w:rPr>
                <w:i/>
                <w:spacing w:val="-5"/>
                <w:sz w:val="18"/>
              </w:rPr>
              <w:t>2,6</w:t>
            </w:r>
          </w:p>
        </w:tc>
      </w:tr>
    </w:tbl>
    <w:p>
      <w:pPr>
        <w:spacing w:before="0"/>
        <w:ind w:left="360" w:right="0" w:firstLine="0"/>
        <w:jc w:val="left"/>
        <w:rPr>
          <w:i/>
          <w:sz w:val="20"/>
        </w:rPr>
      </w:pPr>
      <w:r>
        <w:rPr>
          <w:i/>
          <w:sz w:val="20"/>
        </w:rPr>
        <w:t>Извор:</w:t>
      </w:r>
      <w:r>
        <w:rPr>
          <w:i/>
          <w:spacing w:val="-6"/>
          <w:sz w:val="20"/>
        </w:rPr>
        <w:t> </w:t>
      </w:r>
      <w:r>
        <w:rPr>
          <w:i/>
          <w:spacing w:val="-5"/>
          <w:sz w:val="20"/>
        </w:rPr>
        <w:t>НСЗ</w:t>
      </w:r>
    </w:p>
    <w:p>
      <w:pPr>
        <w:pStyle w:val="BodyText"/>
        <w:spacing w:before="114"/>
        <w:ind w:right="716" w:firstLine="719"/>
      </w:pPr>
      <w:r>
        <w:rPr/>
        <w:t>Подаци</w:t>
      </w:r>
      <w:r>
        <w:rPr>
          <w:spacing w:val="-11"/>
        </w:rPr>
        <w:t> </w:t>
      </w:r>
      <w:r>
        <w:rPr/>
        <w:t>за</w:t>
      </w:r>
      <w:r>
        <w:rPr>
          <w:spacing w:val="-13"/>
        </w:rPr>
        <w:t> </w:t>
      </w:r>
      <w:r>
        <w:rPr/>
        <w:t>2020.</w:t>
      </w:r>
      <w:r>
        <w:rPr>
          <w:spacing w:val="-12"/>
        </w:rPr>
        <w:t> </w:t>
      </w:r>
      <w:r>
        <w:rPr/>
        <w:t>годину</w:t>
      </w:r>
      <w:r>
        <w:rPr>
          <w:spacing w:val="-14"/>
        </w:rPr>
        <w:t> </w:t>
      </w:r>
      <w:r>
        <w:rPr/>
        <w:t>(31.</w:t>
      </w:r>
      <w:r>
        <w:rPr>
          <w:spacing w:val="-12"/>
        </w:rPr>
        <w:t> </w:t>
      </w:r>
      <w:r>
        <w:rPr/>
        <w:t>октобар</w:t>
      </w:r>
      <w:r>
        <w:rPr>
          <w:spacing w:val="-12"/>
        </w:rPr>
        <w:t> </w:t>
      </w:r>
      <w:r>
        <w:rPr/>
        <w:t>2020.</w:t>
      </w:r>
      <w:r>
        <w:rPr>
          <w:spacing w:val="-12"/>
        </w:rPr>
        <w:t> </w:t>
      </w:r>
      <w:r>
        <w:rPr/>
        <w:t>године),</w:t>
      </w:r>
      <w:r>
        <w:rPr>
          <w:spacing w:val="-13"/>
        </w:rPr>
        <w:t> </w:t>
      </w:r>
      <w:r>
        <w:rPr/>
        <w:t>показују</w:t>
      </w:r>
      <w:r>
        <w:rPr>
          <w:spacing w:val="-14"/>
        </w:rPr>
        <w:t> </w:t>
      </w:r>
      <w:r>
        <w:rPr/>
        <w:t>да</w:t>
      </w:r>
      <w:r>
        <w:rPr>
          <w:spacing w:val="-11"/>
        </w:rPr>
        <w:t> </w:t>
      </w:r>
      <w:r>
        <w:rPr/>
        <w:t>се</w:t>
      </w:r>
      <w:r>
        <w:rPr>
          <w:spacing w:val="-11"/>
        </w:rPr>
        <w:t> </w:t>
      </w:r>
      <w:r>
        <w:rPr/>
        <w:t>на</w:t>
      </w:r>
      <w:r>
        <w:rPr>
          <w:spacing w:val="-13"/>
        </w:rPr>
        <w:t> </w:t>
      </w:r>
      <w:r>
        <w:rPr/>
        <w:t>евиденцији</w:t>
      </w:r>
      <w:r>
        <w:rPr>
          <w:spacing w:val="-11"/>
        </w:rPr>
        <w:t> </w:t>
      </w:r>
      <w:r>
        <w:rPr/>
        <w:t>НСЗ налази 12.528 незапослених ОСИ, активних у тражењу посла, од којих су 42,6% жене. Према</w:t>
      </w:r>
      <w:r>
        <w:rPr>
          <w:spacing w:val="-15"/>
        </w:rPr>
        <w:t> </w:t>
      </w:r>
      <w:r>
        <w:rPr/>
        <w:t>нивоу</w:t>
      </w:r>
      <w:r>
        <w:rPr>
          <w:spacing w:val="-15"/>
        </w:rPr>
        <w:t> </w:t>
      </w:r>
      <w:r>
        <w:rPr/>
        <w:t>образовања,</w:t>
      </w:r>
      <w:r>
        <w:rPr>
          <w:spacing w:val="-15"/>
        </w:rPr>
        <w:t> </w:t>
      </w:r>
      <w:r>
        <w:rPr/>
        <w:t>54,7%</w:t>
      </w:r>
      <w:r>
        <w:rPr>
          <w:spacing w:val="-15"/>
        </w:rPr>
        <w:t> </w:t>
      </w:r>
      <w:r>
        <w:rPr/>
        <w:t>има</w:t>
      </w:r>
      <w:r>
        <w:rPr>
          <w:spacing w:val="-15"/>
        </w:rPr>
        <w:t> </w:t>
      </w:r>
      <w:r>
        <w:rPr/>
        <w:t>завршено</w:t>
      </w:r>
      <w:r>
        <w:rPr>
          <w:spacing w:val="-15"/>
        </w:rPr>
        <w:t> </w:t>
      </w:r>
      <w:r>
        <w:rPr/>
        <w:t>образовање</w:t>
      </w:r>
      <w:r>
        <w:rPr>
          <w:spacing w:val="-15"/>
        </w:rPr>
        <w:t> </w:t>
      </w:r>
      <w:r>
        <w:rPr/>
        <w:t>на</w:t>
      </w:r>
      <w:r>
        <w:rPr>
          <w:spacing w:val="-15"/>
        </w:rPr>
        <w:t> </w:t>
      </w:r>
      <w:r>
        <w:rPr/>
        <w:t>средњем</w:t>
      </w:r>
      <w:r>
        <w:rPr>
          <w:spacing w:val="-15"/>
        </w:rPr>
        <w:t> </w:t>
      </w:r>
      <w:r>
        <w:rPr/>
        <w:t>нивоу,</w:t>
      </w:r>
      <w:r>
        <w:rPr>
          <w:spacing w:val="-15"/>
        </w:rPr>
        <w:t> </w:t>
      </w:r>
      <w:r>
        <w:rPr/>
        <w:t>38,8%</w:t>
      </w:r>
      <w:r>
        <w:rPr>
          <w:spacing w:val="-15"/>
        </w:rPr>
        <w:t> </w:t>
      </w:r>
      <w:r>
        <w:rPr/>
        <w:t>су</w:t>
      </w:r>
      <w:r>
        <w:rPr>
          <w:spacing w:val="-15"/>
        </w:rPr>
        <w:t> </w:t>
      </w:r>
      <w:r>
        <w:rPr/>
        <w:t>лица без и са ниским квалификацијама, а само 6,6% незапослених ОСИ има више или високо образовање. Према годинама старости, 46,7% незапослених ОСИ има 50 или више година старости,</w:t>
      </w:r>
      <w:r>
        <w:rPr>
          <w:spacing w:val="-15"/>
        </w:rPr>
        <w:t> </w:t>
      </w:r>
      <w:r>
        <w:rPr/>
        <w:t>41,8%</w:t>
      </w:r>
      <w:r>
        <w:rPr>
          <w:spacing w:val="-13"/>
        </w:rPr>
        <w:t> </w:t>
      </w:r>
      <w:r>
        <w:rPr/>
        <w:t>старости</w:t>
      </w:r>
      <w:r>
        <w:rPr>
          <w:spacing w:val="-11"/>
        </w:rPr>
        <w:t> </w:t>
      </w:r>
      <w:r>
        <w:rPr/>
        <w:t>је</w:t>
      </w:r>
      <w:r>
        <w:rPr>
          <w:spacing w:val="-14"/>
        </w:rPr>
        <w:t> </w:t>
      </w:r>
      <w:r>
        <w:rPr/>
        <w:t>30-49</w:t>
      </w:r>
      <w:r>
        <w:rPr>
          <w:spacing w:val="-13"/>
        </w:rPr>
        <w:t> </w:t>
      </w:r>
      <w:r>
        <w:rPr/>
        <w:t>година,</w:t>
      </w:r>
      <w:r>
        <w:rPr>
          <w:spacing w:val="-13"/>
        </w:rPr>
        <w:t> </w:t>
      </w:r>
      <w:r>
        <w:rPr/>
        <w:t>а</w:t>
      </w:r>
      <w:r>
        <w:rPr>
          <w:spacing w:val="-14"/>
        </w:rPr>
        <w:t> </w:t>
      </w:r>
      <w:r>
        <w:rPr/>
        <w:t>11,6%</w:t>
      </w:r>
      <w:r>
        <w:rPr>
          <w:spacing w:val="-14"/>
        </w:rPr>
        <w:t> </w:t>
      </w:r>
      <w:r>
        <w:rPr/>
        <w:t>су</w:t>
      </w:r>
      <w:r>
        <w:rPr>
          <w:spacing w:val="-15"/>
        </w:rPr>
        <w:t> </w:t>
      </w:r>
      <w:r>
        <w:rPr/>
        <w:t>млади</w:t>
      </w:r>
      <w:r>
        <w:rPr>
          <w:spacing w:val="-12"/>
        </w:rPr>
        <w:t> </w:t>
      </w:r>
      <w:r>
        <w:rPr/>
        <w:t>до</w:t>
      </w:r>
      <w:r>
        <w:rPr>
          <w:spacing w:val="-13"/>
        </w:rPr>
        <w:t> </w:t>
      </w:r>
      <w:r>
        <w:rPr/>
        <w:t>30</w:t>
      </w:r>
      <w:r>
        <w:rPr>
          <w:spacing w:val="-13"/>
        </w:rPr>
        <w:t> </w:t>
      </w:r>
      <w:r>
        <w:rPr/>
        <w:t>година.</w:t>
      </w:r>
      <w:r>
        <w:rPr>
          <w:spacing w:val="-13"/>
        </w:rPr>
        <w:t> </w:t>
      </w:r>
      <w:r>
        <w:rPr/>
        <w:t>Дуже</w:t>
      </w:r>
      <w:r>
        <w:rPr>
          <w:spacing w:val="-14"/>
        </w:rPr>
        <w:t> </w:t>
      </w:r>
      <w:r>
        <w:rPr/>
        <w:t>од</w:t>
      </w:r>
      <w:r>
        <w:rPr>
          <w:spacing w:val="-13"/>
        </w:rPr>
        <w:t> </w:t>
      </w:r>
      <w:r>
        <w:rPr/>
        <w:t>12</w:t>
      </w:r>
      <w:r>
        <w:rPr>
          <w:spacing w:val="-13"/>
        </w:rPr>
        <w:t> </w:t>
      </w:r>
      <w:r>
        <w:rPr/>
        <w:t>месеци посао тражи 76,4% незапослених ОСИ, док њих 61,9% посао тражи дуже од 2 године. Неповољна образовна и старосна структура, као и високо учешће у дугорочној незапослености, карактеристике су незапослених ОСИ.</w:t>
      </w:r>
    </w:p>
    <w:p>
      <w:pPr>
        <w:pStyle w:val="BodyText"/>
        <w:spacing w:before="118"/>
        <w:ind w:left="0"/>
        <w:jc w:val="left"/>
      </w:pPr>
    </w:p>
    <w:p>
      <w:pPr>
        <w:pStyle w:val="ListParagraph"/>
        <w:numPr>
          <w:ilvl w:val="2"/>
          <w:numId w:val="1"/>
        </w:numPr>
        <w:tabs>
          <w:tab w:pos="1154" w:val="left" w:leader="none"/>
        </w:tabs>
        <w:spacing w:line="240" w:lineRule="auto" w:before="0" w:after="0"/>
        <w:ind w:left="1154" w:right="0" w:hanging="794"/>
        <w:jc w:val="left"/>
        <w:rPr>
          <w:sz w:val="24"/>
        </w:rPr>
      </w:pPr>
      <w:r>
        <w:rPr>
          <w:sz w:val="24"/>
        </w:rPr>
        <w:t>Утицај</w:t>
      </w:r>
      <w:r>
        <w:rPr>
          <w:spacing w:val="-4"/>
          <w:sz w:val="24"/>
        </w:rPr>
        <w:t> </w:t>
      </w:r>
      <w:r>
        <w:rPr>
          <w:sz w:val="24"/>
        </w:rPr>
        <w:t>пандемије</w:t>
      </w:r>
      <w:r>
        <w:rPr>
          <w:spacing w:val="-2"/>
          <w:sz w:val="24"/>
        </w:rPr>
        <w:t> </w:t>
      </w:r>
      <w:r>
        <w:rPr>
          <w:sz w:val="24"/>
        </w:rPr>
        <w:t>Ковид-19</w:t>
      </w:r>
      <w:r>
        <w:rPr>
          <w:spacing w:val="-1"/>
          <w:sz w:val="24"/>
        </w:rPr>
        <w:t> </w:t>
      </w:r>
      <w:r>
        <w:rPr>
          <w:sz w:val="24"/>
        </w:rPr>
        <w:t>на</w:t>
      </w:r>
      <w:r>
        <w:rPr>
          <w:spacing w:val="-3"/>
          <w:sz w:val="24"/>
        </w:rPr>
        <w:t> </w:t>
      </w:r>
      <w:r>
        <w:rPr>
          <w:sz w:val="24"/>
        </w:rPr>
        <w:t>економију</w:t>
      </w:r>
      <w:r>
        <w:rPr>
          <w:spacing w:val="-9"/>
          <w:sz w:val="24"/>
        </w:rPr>
        <w:t> </w:t>
      </w:r>
      <w:r>
        <w:rPr>
          <w:sz w:val="24"/>
        </w:rPr>
        <w:t>и тржиште</w:t>
      </w:r>
      <w:r>
        <w:rPr>
          <w:spacing w:val="-2"/>
          <w:sz w:val="24"/>
        </w:rPr>
        <w:t> </w:t>
      </w:r>
      <w:r>
        <w:rPr>
          <w:sz w:val="24"/>
        </w:rPr>
        <w:t>рада</w:t>
      </w:r>
      <w:r>
        <w:rPr>
          <w:spacing w:val="-2"/>
          <w:sz w:val="24"/>
        </w:rPr>
        <w:t> Србије</w:t>
      </w:r>
    </w:p>
    <w:p>
      <w:pPr>
        <w:pStyle w:val="BodyText"/>
        <w:spacing w:before="121"/>
        <w:ind w:left="0"/>
        <w:jc w:val="left"/>
      </w:pPr>
    </w:p>
    <w:p>
      <w:pPr>
        <w:pStyle w:val="BodyText"/>
        <w:ind w:right="710" w:firstLine="719"/>
      </w:pPr>
      <w:r>
        <w:rPr/>
        <w:t>Aнализирајући последње</w:t>
      </w:r>
      <w:r>
        <w:rPr>
          <w:spacing w:val="-2"/>
        </w:rPr>
        <w:t> </w:t>
      </w:r>
      <w:r>
        <w:rPr/>
        <w:t>расположиве</w:t>
      </w:r>
      <w:r>
        <w:rPr>
          <w:spacing w:val="-3"/>
        </w:rPr>
        <w:t> </w:t>
      </w:r>
      <w:r>
        <w:rPr/>
        <w:t>податке</w:t>
      </w:r>
      <w:r>
        <w:rPr>
          <w:spacing w:val="-2"/>
        </w:rPr>
        <w:t> </w:t>
      </w:r>
      <w:r>
        <w:rPr/>
        <w:t>о</w:t>
      </w:r>
      <w:r>
        <w:rPr>
          <w:spacing w:val="-1"/>
        </w:rPr>
        <w:t> </w:t>
      </w:r>
      <w:r>
        <w:rPr/>
        <w:t>регистрованој</w:t>
      </w:r>
      <w:r>
        <w:rPr>
          <w:spacing w:val="-1"/>
        </w:rPr>
        <w:t> </w:t>
      </w:r>
      <w:r>
        <w:rPr/>
        <w:t>запослености,</w:t>
      </w:r>
      <w:r>
        <w:rPr>
          <w:spacing w:val="-1"/>
        </w:rPr>
        <w:t> </w:t>
      </w:r>
      <w:r>
        <w:rPr/>
        <w:t>може се закључити да тржиште рада Србије „одолеваˮ негативним утицајима пандемије. Запосленост на формалном тржишту</w:t>
      </w:r>
      <w:r>
        <w:rPr>
          <w:spacing w:val="-1"/>
        </w:rPr>
        <w:t> </w:t>
      </w:r>
      <w:r>
        <w:rPr/>
        <w:t>рада (регистрована запосленост</w:t>
      </w:r>
      <w:r>
        <w:rPr>
          <w:vertAlign w:val="superscript"/>
        </w:rPr>
        <w:t>30</w:t>
      </w:r>
      <w:r>
        <w:rPr>
          <w:vertAlign w:val="baseline"/>
        </w:rPr>
        <w:t>) у</w:t>
      </w:r>
      <w:r>
        <w:rPr>
          <w:spacing w:val="-1"/>
          <w:vertAlign w:val="baseline"/>
        </w:rPr>
        <w:t> </w:t>
      </w:r>
      <w:r>
        <w:rPr>
          <w:vertAlign w:val="baseline"/>
        </w:rPr>
        <w:t>другом кварталу 2020. године забележила је раст од 10 хиљада, што је повећање од 0,5% у односу на претходни</w:t>
      </w:r>
      <w:r>
        <w:rPr>
          <w:spacing w:val="-5"/>
          <w:vertAlign w:val="baseline"/>
        </w:rPr>
        <w:t> </w:t>
      </w:r>
      <w:r>
        <w:rPr>
          <w:vertAlign w:val="baseline"/>
        </w:rPr>
        <w:t>квартал,</w:t>
      </w:r>
      <w:r>
        <w:rPr>
          <w:spacing w:val="-6"/>
          <w:vertAlign w:val="baseline"/>
        </w:rPr>
        <w:t> </w:t>
      </w:r>
      <w:r>
        <w:rPr>
          <w:vertAlign w:val="baseline"/>
        </w:rPr>
        <w:t>док</w:t>
      </w:r>
      <w:r>
        <w:rPr>
          <w:spacing w:val="-8"/>
          <w:vertAlign w:val="baseline"/>
        </w:rPr>
        <w:t> </w:t>
      </w:r>
      <w:r>
        <w:rPr>
          <w:vertAlign w:val="baseline"/>
        </w:rPr>
        <w:t>је</w:t>
      </w:r>
      <w:r>
        <w:rPr>
          <w:spacing w:val="-1"/>
          <w:vertAlign w:val="baseline"/>
        </w:rPr>
        <w:t> </w:t>
      </w:r>
      <w:r>
        <w:rPr>
          <w:vertAlign w:val="baseline"/>
        </w:rPr>
        <w:t>у</w:t>
      </w:r>
      <w:r>
        <w:rPr>
          <w:spacing w:val="-12"/>
          <w:vertAlign w:val="baseline"/>
        </w:rPr>
        <w:t> </w:t>
      </w:r>
      <w:r>
        <w:rPr>
          <w:vertAlign w:val="baseline"/>
        </w:rPr>
        <w:t>трећем</w:t>
      </w:r>
      <w:r>
        <w:rPr>
          <w:spacing w:val="-7"/>
          <w:vertAlign w:val="baseline"/>
        </w:rPr>
        <w:t> </w:t>
      </w:r>
      <w:r>
        <w:rPr>
          <w:vertAlign w:val="baseline"/>
        </w:rPr>
        <w:t>кварталу</w:t>
      </w:r>
      <w:r>
        <w:rPr>
          <w:spacing w:val="-9"/>
          <w:vertAlign w:val="baseline"/>
        </w:rPr>
        <w:t> </w:t>
      </w:r>
      <w:r>
        <w:rPr>
          <w:vertAlign w:val="baseline"/>
        </w:rPr>
        <w:t>2020.</w:t>
      </w:r>
      <w:r>
        <w:rPr>
          <w:spacing w:val="-6"/>
          <w:vertAlign w:val="baseline"/>
        </w:rPr>
        <w:t> </w:t>
      </w:r>
      <w:r>
        <w:rPr>
          <w:vertAlign w:val="baseline"/>
        </w:rPr>
        <w:t>године</w:t>
      </w:r>
      <w:r>
        <w:rPr>
          <w:spacing w:val="-7"/>
          <w:vertAlign w:val="baseline"/>
        </w:rPr>
        <w:t> </w:t>
      </w:r>
      <w:r>
        <w:rPr>
          <w:vertAlign w:val="baseline"/>
        </w:rPr>
        <w:t>забележен</w:t>
      </w:r>
      <w:r>
        <w:rPr>
          <w:spacing w:val="-5"/>
          <w:vertAlign w:val="baseline"/>
        </w:rPr>
        <w:t> </w:t>
      </w:r>
      <w:r>
        <w:rPr>
          <w:vertAlign w:val="baseline"/>
        </w:rPr>
        <w:t>раст</w:t>
      </w:r>
      <w:r>
        <w:rPr>
          <w:spacing w:val="-6"/>
          <w:vertAlign w:val="baseline"/>
        </w:rPr>
        <w:t> </w:t>
      </w:r>
      <w:r>
        <w:rPr>
          <w:vertAlign w:val="baseline"/>
        </w:rPr>
        <w:t>од</w:t>
      </w:r>
      <w:r>
        <w:rPr>
          <w:spacing w:val="-6"/>
          <w:vertAlign w:val="baseline"/>
        </w:rPr>
        <w:t> </w:t>
      </w:r>
      <w:r>
        <w:rPr>
          <w:vertAlign w:val="baseline"/>
        </w:rPr>
        <w:t>1,3%, у</w:t>
      </w:r>
      <w:r>
        <w:rPr>
          <w:spacing w:val="-11"/>
          <w:vertAlign w:val="baseline"/>
        </w:rPr>
        <w:t> </w:t>
      </w:r>
      <w:r>
        <w:rPr>
          <w:vertAlign w:val="baseline"/>
        </w:rPr>
        <w:t>односу на други квартал 2020. године. Основни индикатори тржишта рада, на основу података АРС-а, такође не одражавају</w:t>
      </w:r>
      <w:r>
        <w:rPr>
          <w:spacing w:val="-3"/>
          <w:vertAlign w:val="baseline"/>
        </w:rPr>
        <w:t> </w:t>
      </w:r>
      <w:r>
        <w:rPr>
          <w:vertAlign w:val="baseline"/>
        </w:rPr>
        <w:t>негативан утицај пандемије Ковид-19 и економске кризе која је изазвана њом</w:t>
      </w:r>
      <w:r>
        <w:rPr>
          <w:vertAlign w:val="superscript"/>
        </w:rPr>
        <w:t>31</w:t>
      </w:r>
      <w:r>
        <w:rPr>
          <w:vertAlign w:val="baseline"/>
        </w:rPr>
        <w:t>.</w:t>
      </w:r>
    </w:p>
    <w:p>
      <w:pPr>
        <w:pStyle w:val="BodyText"/>
        <w:spacing w:before="120"/>
        <w:ind w:right="720" w:firstLine="719"/>
      </w:pPr>
      <w:r>
        <w:rPr/>
        <w:t>Томе је у највећој мери допринела достигнута фискална равнотежа и финансијска стабилност у претходном периоду, али и сет економских мера подршке привреди и становништву, у циљу очувања ликвидности привредних субјеката и одржања привредне активности и запослености.</w:t>
      </w:r>
    </w:p>
    <w:p>
      <w:pPr>
        <w:pStyle w:val="BodyText"/>
        <w:spacing w:before="121"/>
        <w:ind w:right="721" w:firstLine="719"/>
      </w:pPr>
      <w:r>
        <w:rPr/>
        <w:t>Србија има отворену и интегрисану привреду, са примарном оријентацијом ка тржишту</w:t>
      </w:r>
      <w:r>
        <w:rPr>
          <w:spacing w:val="-7"/>
        </w:rPr>
        <w:t> </w:t>
      </w:r>
      <w:r>
        <w:rPr/>
        <w:t>ЕУ (током 2019. године око две трећине српског извоза пласирано је на тржиште ЕУ), тако да ће дуготрајно ограничење кретања и смањење привредне активности главних партнера Србије нужно довести до опадања економске сарадње. Ипак, под утицајем ових</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54"/>
        <w:ind w:left="0"/>
        <w:jc w:val="left"/>
        <w:rPr>
          <w:sz w:val="20"/>
        </w:rPr>
      </w:pPr>
      <w:r>
        <w:rPr>
          <w:sz w:val="20"/>
        </w:rPr>
        <mc:AlternateContent>
          <mc:Choice Requires="wps">
            <w:drawing>
              <wp:anchor distT="0" distB="0" distL="0" distR="0" allowOverlap="1" layoutInCell="1" locked="0" behindDoc="1" simplePos="0" relativeHeight="487597056">
                <wp:simplePos x="0" y="0"/>
                <wp:positionH relativeFrom="page">
                  <wp:posOffset>914704</wp:posOffset>
                </wp:positionH>
                <wp:positionV relativeFrom="paragraph">
                  <wp:posOffset>259165</wp:posOffset>
                </wp:positionV>
                <wp:extent cx="1829435" cy="952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406748pt;width:144.020pt;height:.71997pt;mso-position-horizontal-relative:page;mso-position-vertical-relative:paragraph;z-index:-15719424;mso-wrap-distance-left:0;mso-wrap-distance-right:0" id="docshape21" filled="true" fillcolor="#000000" stroked="false">
                <v:fill type="solid"/>
                <w10:wrap type="topAndBottom"/>
              </v:rect>
            </w:pict>
          </mc:Fallback>
        </mc:AlternateContent>
      </w:r>
    </w:p>
    <w:p>
      <w:pPr>
        <w:spacing w:line="210" w:lineRule="exact" w:before="94"/>
        <w:ind w:left="360" w:right="0" w:firstLine="0"/>
        <w:jc w:val="left"/>
        <w:rPr>
          <w:sz w:val="18"/>
        </w:rPr>
      </w:pPr>
      <w:r>
        <w:rPr>
          <w:position w:val="6"/>
          <w:sz w:val="12"/>
        </w:rPr>
        <w:t>30</w:t>
      </w:r>
      <w:r>
        <w:rPr>
          <w:spacing w:val="10"/>
          <w:position w:val="6"/>
          <w:sz w:val="12"/>
        </w:rPr>
        <w:t> </w:t>
      </w:r>
      <w:r>
        <w:rPr>
          <w:sz w:val="18"/>
        </w:rPr>
        <w:t>Извор:</w:t>
      </w:r>
      <w:r>
        <w:rPr>
          <w:spacing w:val="-3"/>
          <w:sz w:val="18"/>
        </w:rPr>
        <w:t> </w:t>
      </w:r>
      <w:r>
        <w:rPr>
          <w:sz w:val="18"/>
        </w:rPr>
        <w:t>Истраживање</w:t>
      </w:r>
      <w:r>
        <w:rPr>
          <w:spacing w:val="-4"/>
          <w:sz w:val="18"/>
        </w:rPr>
        <w:t> </w:t>
      </w:r>
      <w:r>
        <w:rPr>
          <w:sz w:val="18"/>
        </w:rPr>
        <w:t>о</w:t>
      </w:r>
      <w:r>
        <w:rPr>
          <w:spacing w:val="-2"/>
          <w:sz w:val="18"/>
        </w:rPr>
        <w:t> </w:t>
      </w:r>
      <w:r>
        <w:rPr>
          <w:sz w:val="18"/>
        </w:rPr>
        <w:t>регистрованој</w:t>
      </w:r>
      <w:r>
        <w:rPr>
          <w:spacing w:val="-3"/>
          <w:sz w:val="18"/>
        </w:rPr>
        <w:t> </w:t>
      </w:r>
      <w:r>
        <w:rPr>
          <w:sz w:val="18"/>
        </w:rPr>
        <w:t>запослености, </w:t>
      </w:r>
      <w:r>
        <w:rPr>
          <w:spacing w:val="-5"/>
          <w:sz w:val="18"/>
        </w:rPr>
        <w:t>РЗС</w:t>
      </w:r>
    </w:p>
    <w:p>
      <w:pPr>
        <w:spacing w:before="0"/>
        <w:ind w:left="360" w:right="713" w:firstLine="0"/>
        <w:jc w:val="left"/>
        <w:rPr>
          <w:sz w:val="18"/>
        </w:rPr>
      </w:pPr>
      <w:r>
        <w:rPr>
          <w:position w:val="6"/>
          <w:sz w:val="12"/>
        </w:rPr>
        <w:t>31</w:t>
      </w:r>
      <w:r>
        <w:rPr>
          <w:spacing w:val="22"/>
          <w:position w:val="6"/>
          <w:sz w:val="12"/>
        </w:rPr>
        <w:t> </w:t>
      </w:r>
      <w:r>
        <w:rPr>
          <w:sz w:val="18"/>
        </w:rPr>
        <w:t>С обзиром на то да су стопа запослености и незапослености заостајући индикатори економске активности, очекује се тек крајем 2020. и почетком 2021. године да се види утицај пандемије на индикаторе тржишта рада.</w:t>
      </w:r>
    </w:p>
    <w:p>
      <w:pPr>
        <w:spacing w:after="0"/>
        <w:jc w:val="left"/>
        <w:rPr>
          <w:sz w:val="18"/>
        </w:rPr>
        <w:sectPr>
          <w:pgSz w:w="12240" w:h="15840"/>
          <w:pgMar w:header="0" w:footer="702" w:top="1360" w:bottom="900" w:left="1080" w:right="720"/>
        </w:sectPr>
      </w:pPr>
    </w:p>
    <w:p>
      <w:pPr>
        <w:pStyle w:val="BodyText"/>
        <w:spacing w:line="235" w:lineRule="auto" w:before="81"/>
        <w:ind w:right="712"/>
      </w:pPr>
      <w:r>
        <w:rPr/>
        <w:t>фактора пад економије Србије у 2020. години износиће само 1,0%, док је </w:t>
      </w:r>
      <w:r>
        <w:rPr>
          <w:rFonts w:ascii="Calibri" w:hAnsi="Calibri"/>
          <w:sz w:val="22"/>
        </w:rPr>
        <w:t>з</w:t>
      </w:r>
      <w:r>
        <w:rPr/>
        <w:t>а 2021. годину пројектован реални раст БДП од 6,0%.</w:t>
      </w:r>
      <w:r>
        <w:rPr>
          <w:vertAlign w:val="superscript"/>
        </w:rPr>
        <w:t>32</w:t>
      </w:r>
    </w:p>
    <w:p>
      <w:pPr>
        <w:pStyle w:val="BodyText"/>
        <w:spacing w:before="122"/>
        <w:ind w:right="715" w:firstLine="719"/>
      </w:pPr>
      <w:r>
        <w:rPr/>
        <w:t>У условима посткризног периода након епидемије вирусом Ковид-19, посебно је важно осигурати стабилно финансирање мера АПЗ, како би се обезбедило да незапослена лица остану везана за тржиште рада, превенирао губитак и застаревање знања и вештина незапослених лица и омогућило оспособљавање за радна места која ће се креирати по изласку из кризе, што доприноси дугорочном економском расту.</w:t>
      </w:r>
    </w:p>
    <w:p>
      <w:pPr>
        <w:pStyle w:val="BodyText"/>
        <w:spacing w:before="5"/>
        <w:ind w:left="0"/>
        <w:jc w:val="left"/>
      </w:pPr>
    </w:p>
    <w:p>
      <w:pPr>
        <w:pStyle w:val="Heading2"/>
        <w:numPr>
          <w:ilvl w:val="1"/>
          <w:numId w:val="1"/>
        </w:numPr>
        <w:tabs>
          <w:tab w:pos="1551" w:val="left" w:leader="none"/>
        </w:tabs>
        <w:spacing w:line="240" w:lineRule="auto" w:before="0" w:after="0"/>
        <w:ind w:left="360" w:right="721" w:firstLine="719"/>
        <w:jc w:val="left"/>
      </w:pPr>
      <w:r>
        <w:rPr/>
        <w:t>Анализа</w:t>
      </w:r>
      <w:r>
        <w:rPr>
          <w:spacing w:val="40"/>
        </w:rPr>
        <w:t> </w:t>
      </w:r>
      <w:r>
        <w:rPr/>
        <w:t>остварених</w:t>
      </w:r>
      <w:r>
        <w:rPr>
          <w:spacing w:val="40"/>
        </w:rPr>
        <w:t> </w:t>
      </w:r>
      <w:r>
        <w:rPr/>
        <w:t>резултата</w:t>
      </w:r>
      <w:r>
        <w:rPr>
          <w:spacing w:val="40"/>
        </w:rPr>
        <w:t> </w:t>
      </w:r>
      <w:r>
        <w:rPr/>
        <w:t>спровођења</w:t>
      </w:r>
      <w:r>
        <w:rPr>
          <w:spacing w:val="40"/>
        </w:rPr>
        <w:t> </w:t>
      </w:r>
      <w:r>
        <w:rPr/>
        <w:t>претходних</w:t>
      </w:r>
      <w:r>
        <w:rPr>
          <w:spacing w:val="40"/>
        </w:rPr>
        <w:t> </w:t>
      </w:r>
      <w:r>
        <w:rPr/>
        <w:t>документа</w:t>
      </w:r>
      <w:r>
        <w:rPr>
          <w:spacing w:val="40"/>
        </w:rPr>
        <w:t> </w:t>
      </w:r>
      <w:r>
        <w:rPr/>
        <w:t>јавне </w:t>
      </w:r>
      <w:r>
        <w:rPr>
          <w:spacing w:val="-2"/>
        </w:rPr>
        <w:t>политике</w:t>
      </w:r>
    </w:p>
    <w:p>
      <w:pPr>
        <w:pStyle w:val="BodyText"/>
        <w:spacing w:before="236"/>
        <w:ind w:left="0"/>
        <w:jc w:val="left"/>
        <w:rPr>
          <w:b/>
        </w:rPr>
      </w:pPr>
    </w:p>
    <w:p>
      <w:pPr>
        <w:pStyle w:val="BodyText"/>
        <w:ind w:firstLine="719"/>
        <w:jc w:val="left"/>
      </w:pPr>
      <w:r>
        <w:rPr/>
        <w:t>Национална</w:t>
      </w:r>
      <w:r>
        <w:rPr>
          <w:spacing w:val="40"/>
        </w:rPr>
        <w:t> </w:t>
      </w:r>
      <w:r>
        <w:rPr/>
        <w:t>стратегија</w:t>
      </w:r>
      <w:r>
        <w:rPr>
          <w:spacing w:val="40"/>
        </w:rPr>
        <w:t> </w:t>
      </w:r>
      <w:r>
        <w:rPr/>
        <w:t>запошљавања</w:t>
      </w:r>
      <w:r>
        <w:rPr>
          <w:spacing w:val="40"/>
        </w:rPr>
        <w:t> </w:t>
      </w:r>
      <w:r>
        <w:rPr/>
        <w:t>за</w:t>
      </w:r>
      <w:r>
        <w:rPr>
          <w:spacing w:val="40"/>
        </w:rPr>
        <w:t> </w:t>
      </w:r>
      <w:r>
        <w:rPr/>
        <w:t>период</w:t>
      </w:r>
      <w:r>
        <w:rPr>
          <w:spacing w:val="40"/>
        </w:rPr>
        <w:t> </w:t>
      </w:r>
      <w:r>
        <w:rPr/>
        <w:t>2011-2020.</w:t>
      </w:r>
      <w:r>
        <w:rPr>
          <w:spacing w:val="40"/>
        </w:rPr>
        <w:t> </w:t>
      </w:r>
      <w:r>
        <w:rPr/>
        <w:t>године</w:t>
      </w:r>
      <w:r>
        <w:rPr>
          <w:spacing w:val="40"/>
        </w:rPr>
        <w:t> </w:t>
      </w:r>
      <w:r>
        <w:rPr/>
        <w:t>је</w:t>
      </w:r>
      <w:r>
        <w:rPr>
          <w:spacing w:val="40"/>
        </w:rPr>
        <w:t> </w:t>
      </w:r>
      <w:r>
        <w:rPr/>
        <w:t>заокружен стратешки документ са јасно истакнутим приоритетима који се односе на:</w:t>
      </w:r>
    </w:p>
    <w:p>
      <w:pPr>
        <w:pStyle w:val="ListParagraph"/>
        <w:numPr>
          <w:ilvl w:val="0"/>
          <w:numId w:val="3"/>
        </w:numPr>
        <w:tabs>
          <w:tab w:pos="1440" w:val="left" w:leader="none"/>
        </w:tabs>
        <w:spacing w:line="240" w:lineRule="auto" w:before="120" w:after="0"/>
        <w:ind w:left="1440" w:right="722" w:hanging="360"/>
        <w:jc w:val="left"/>
        <w:rPr>
          <w:sz w:val="24"/>
        </w:rPr>
      </w:pPr>
      <w:r>
        <w:rPr>
          <w:sz w:val="24"/>
        </w:rPr>
        <w:t>Подстицање запошљавања у мање развијеним регионима и развој регионалне и локалне политике запошљавања;</w:t>
      </w:r>
    </w:p>
    <w:p>
      <w:pPr>
        <w:pStyle w:val="ListParagraph"/>
        <w:numPr>
          <w:ilvl w:val="0"/>
          <w:numId w:val="3"/>
        </w:numPr>
        <w:tabs>
          <w:tab w:pos="1440" w:val="left" w:leader="none"/>
        </w:tabs>
        <w:spacing w:line="240" w:lineRule="auto" w:before="0" w:after="0"/>
        <w:ind w:left="1440" w:right="0" w:hanging="360"/>
        <w:jc w:val="left"/>
        <w:rPr>
          <w:sz w:val="24"/>
        </w:rPr>
      </w:pPr>
      <w:r>
        <w:rPr>
          <w:sz w:val="24"/>
        </w:rPr>
        <w:t>Унапређење</w:t>
      </w:r>
      <w:r>
        <w:rPr>
          <w:spacing w:val="-6"/>
          <w:sz w:val="24"/>
        </w:rPr>
        <w:t> </w:t>
      </w:r>
      <w:r>
        <w:rPr>
          <w:sz w:val="24"/>
        </w:rPr>
        <w:t>људског</w:t>
      </w:r>
      <w:r>
        <w:rPr>
          <w:spacing w:val="-3"/>
          <w:sz w:val="24"/>
        </w:rPr>
        <w:t> </w:t>
      </w:r>
      <w:r>
        <w:rPr>
          <w:sz w:val="24"/>
        </w:rPr>
        <w:t>капитала</w:t>
      </w:r>
      <w:r>
        <w:rPr>
          <w:spacing w:val="-4"/>
          <w:sz w:val="24"/>
        </w:rPr>
        <w:t> </w:t>
      </w:r>
      <w:r>
        <w:rPr>
          <w:sz w:val="24"/>
        </w:rPr>
        <w:t>и</w:t>
      </w:r>
      <w:r>
        <w:rPr>
          <w:spacing w:val="-2"/>
          <w:sz w:val="24"/>
        </w:rPr>
        <w:t> </w:t>
      </w:r>
      <w:r>
        <w:rPr>
          <w:sz w:val="24"/>
        </w:rPr>
        <w:t>веће</w:t>
      </w:r>
      <w:r>
        <w:rPr>
          <w:spacing w:val="-4"/>
          <w:sz w:val="24"/>
        </w:rPr>
        <w:t> </w:t>
      </w:r>
      <w:r>
        <w:rPr>
          <w:sz w:val="24"/>
        </w:rPr>
        <w:t>социјално </w:t>
      </w:r>
      <w:r>
        <w:rPr>
          <w:spacing w:val="-2"/>
          <w:sz w:val="24"/>
        </w:rPr>
        <w:t>укључивање;</w:t>
      </w:r>
    </w:p>
    <w:p>
      <w:pPr>
        <w:pStyle w:val="ListParagraph"/>
        <w:numPr>
          <w:ilvl w:val="0"/>
          <w:numId w:val="3"/>
        </w:numPr>
        <w:tabs>
          <w:tab w:pos="1440" w:val="left" w:leader="none"/>
        </w:tabs>
        <w:spacing w:line="275" w:lineRule="exact" w:before="29" w:after="0"/>
        <w:ind w:left="1440" w:right="0" w:hanging="360"/>
        <w:jc w:val="left"/>
        <w:rPr>
          <w:sz w:val="24"/>
        </w:rPr>
      </w:pPr>
      <w:r>
        <w:rPr>
          <w:sz w:val="24"/>
        </w:rPr>
        <w:t>Унапређење</w:t>
      </w:r>
      <w:r>
        <w:rPr>
          <w:spacing w:val="-5"/>
          <w:sz w:val="24"/>
        </w:rPr>
        <w:t> </w:t>
      </w:r>
      <w:r>
        <w:rPr>
          <w:sz w:val="24"/>
        </w:rPr>
        <w:t>институција</w:t>
      </w:r>
      <w:r>
        <w:rPr>
          <w:spacing w:val="-3"/>
          <w:sz w:val="24"/>
        </w:rPr>
        <w:t> </w:t>
      </w:r>
      <w:r>
        <w:rPr>
          <w:sz w:val="24"/>
        </w:rPr>
        <w:t>и</w:t>
      </w:r>
      <w:r>
        <w:rPr>
          <w:spacing w:val="-4"/>
          <w:sz w:val="24"/>
        </w:rPr>
        <w:t> </w:t>
      </w:r>
      <w:r>
        <w:rPr>
          <w:sz w:val="24"/>
        </w:rPr>
        <w:t>развој</w:t>
      </w:r>
      <w:r>
        <w:rPr>
          <w:spacing w:val="-2"/>
          <w:sz w:val="24"/>
        </w:rPr>
        <w:t> </w:t>
      </w:r>
      <w:r>
        <w:rPr>
          <w:sz w:val="24"/>
        </w:rPr>
        <w:t>тржишта</w:t>
      </w:r>
      <w:r>
        <w:rPr>
          <w:spacing w:val="-3"/>
          <w:sz w:val="24"/>
        </w:rPr>
        <w:t> </w:t>
      </w:r>
      <w:r>
        <w:rPr>
          <w:sz w:val="24"/>
        </w:rPr>
        <w:t>рада,</w:t>
      </w:r>
      <w:r>
        <w:rPr>
          <w:spacing w:val="-3"/>
          <w:sz w:val="24"/>
        </w:rPr>
        <w:t> </w:t>
      </w:r>
      <w:r>
        <w:rPr>
          <w:spacing w:val="-10"/>
          <w:sz w:val="24"/>
        </w:rPr>
        <w:t>и</w:t>
      </w:r>
    </w:p>
    <w:p>
      <w:pPr>
        <w:pStyle w:val="ListParagraph"/>
        <w:numPr>
          <w:ilvl w:val="0"/>
          <w:numId w:val="3"/>
        </w:numPr>
        <w:tabs>
          <w:tab w:pos="1437" w:val="left" w:leader="none"/>
        </w:tabs>
        <w:spacing w:line="275" w:lineRule="exact" w:before="0" w:after="0"/>
        <w:ind w:left="1437" w:right="0" w:hanging="357"/>
        <w:jc w:val="left"/>
        <w:rPr>
          <w:sz w:val="24"/>
        </w:rPr>
      </w:pPr>
      <w:r>
        <w:rPr>
          <w:sz w:val="24"/>
        </w:rPr>
        <w:t>Редуковање</w:t>
      </w:r>
      <w:r>
        <w:rPr>
          <w:spacing w:val="-4"/>
          <w:sz w:val="24"/>
        </w:rPr>
        <w:t> </w:t>
      </w:r>
      <w:r>
        <w:rPr>
          <w:sz w:val="24"/>
        </w:rPr>
        <w:t>дуалности</w:t>
      </w:r>
      <w:r>
        <w:rPr>
          <w:spacing w:val="-2"/>
          <w:sz w:val="24"/>
        </w:rPr>
        <w:t> </w:t>
      </w:r>
      <w:r>
        <w:rPr>
          <w:sz w:val="24"/>
        </w:rPr>
        <w:t>на</w:t>
      </w:r>
      <w:r>
        <w:rPr>
          <w:spacing w:val="-3"/>
          <w:sz w:val="24"/>
        </w:rPr>
        <w:t> </w:t>
      </w:r>
      <w:r>
        <w:rPr>
          <w:sz w:val="24"/>
        </w:rPr>
        <w:t>тржишту</w:t>
      </w:r>
      <w:r>
        <w:rPr>
          <w:spacing w:val="-10"/>
          <w:sz w:val="24"/>
        </w:rPr>
        <w:t> </w:t>
      </w:r>
      <w:r>
        <w:rPr>
          <w:spacing w:val="-4"/>
          <w:sz w:val="24"/>
        </w:rPr>
        <w:t>рада.</w:t>
      </w:r>
    </w:p>
    <w:p>
      <w:pPr>
        <w:pStyle w:val="BodyText"/>
        <w:spacing w:before="120"/>
        <w:ind w:right="714" w:firstLine="719"/>
      </w:pPr>
      <w:r>
        <w:rPr/>
        <w:t>Мада</w:t>
      </w:r>
      <w:r>
        <w:rPr>
          <w:spacing w:val="-1"/>
        </w:rPr>
        <w:t> </w:t>
      </w:r>
      <w:r>
        <w:rPr/>
        <w:t>је</w:t>
      </w:r>
      <w:r>
        <w:rPr>
          <w:spacing w:val="-1"/>
        </w:rPr>
        <w:t> </w:t>
      </w:r>
      <w:r>
        <w:rPr/>
        <w:t>њен десетогодишњи опсег, по угледу</w:t>
      </w:r>
      <w:r>
        <w:rPr>
          <w:spacing w:val="-8"/>
        </w:rPr>
        <w:t> </w:t>
      </w:r>
      <w:r>
        <w:rPr/>
        <w:t>на</w:t>
      </w:r>
      <w:r>
        <w:rPr>
          <w:spacing w:val="-1"/>
        </w:rPr>
        <w:t> </w:t>
      </w:r>
      <w:r>
        <w:rPr/>
        <w:t>Стратегију</w:t>
      </w:r>
      <w:r>
        <w:rPr>
          <w:spacing w:val="-8"/>
        </w:rPr>
        <w:t> </w:t>
      </w:r>
      <w:r>
        <w:rPr/>
        <w:t>Европа</w:t>
      </w:r>
      <w:r>
        <w:rPr>
          <w:spacing w:val="-1"/>
        </w:rPr>
        <w:t> </w:t>
      </w:r>
      <w:r>
        <w:rPr/>
        <w:t>2020, био веома дугачак и стога захтеван за пројектовање и планирање, њен свеобухватни циљ – повећање запослености – остварен је скоро у потпуности кроз кретање водећег показатеља, стопе запослености, али и пратећих показатеља активности и незапослености. Упркос и даље великом заостајању у односу на показатеље тржишта рада у ЕУ, остварен је солидан напредак и у овом домену, у смислу смањења разлика у показатељима. Напредак је мање снажан када се сагледају квалитативни аспекти оствареног екстензивног раста запослености,</w:t>
      </w:r>
      <w:r>
        <w:rPr>
          <w:spacing w:val="-7"/>
        </w:rPr>
        <w:t> </w:t>
      </w:r>
      <w:r>
        <w:rPr/>
        <w:t>а</w:t>
      </w:r>
      <w:r>
        <w:rPr>
          <w:spacing w:val="-8"/>
        </w:rPr>
        <w:t> </w:t>
      </w:r>
      <w:r>
        <w:rPr/>
        <w:t>то</w:t>
      </w:r>
      <w:r>
        <w:rPr>
          <w:spacing w:val="-9"/>
        </w:rPr>
        <w:t> </w:t>
      </w:r>
      <w:r>
        <w:rPr/>
        <w:t>су</w:t>
      </w:r>
      <w:r>
        <w:rPr>
          <w:spacing w:val="-12"/>
        </w:rPr>
        <w:t> </w:t>
      </w:r>
      <w:r>
        <w:rPr/>
        <w:t>структура</w:t>
      </w:r>
      <w:r>
        <w:rPr>
          <w:spacing w:val="-8"/>
        </w:rPr>
        <w:t> </w:t>
      </w:r>
      <w:r>
        <w:rPr/>
        <w:t>запослености,</w:t>
      </w:r>
      <w:r>
        <w:rPr>
          <w:spacing w:val="-3"/>
        </w:rPr>
        <w:t> </w:t>
      </w:r>
      <w:r>
        <w:rPr/>
        <w:t>зараде,</w:t>
      </w:r>
      <w:r>
        <w:rPr>
          <w:spacing w:val="-2"/>
        </w:rPr>
        <w:t> </w:t>
      </w:r>
      <w:r>
        <w:rPr/>
        <w:t>укључивање</w:t>
      </w:r>
      <w:r>
        <w:rPr>
          <w:spacing w:val="-8"/>
        </w:rPr>
        <w:t> </w:t>
      </w:r>
      <w:r>
        <w:rPr/>
        <w:t>рањивих</w:t>
      </w:r>
      <w:r>
        <w:rPr>
          <w:spacing w:val="-5"/>
        </w:rPr>
        <w:t> </w:t>
      </w:r>
      <w:r>
        <w:rPr/>
        <w:t>група,</w:t>
      </w:r>
      <w:r>
        <w:rPr>
          <w:spacing w:val="-7"/>
        </w:rPr>
        <w:t> </w:t>
      </w:r>
      <w:r>
        <w:rPr/>
        <w:t>посебно младих који ни по једном индикатору нису успели да достигну стратегијом предвиђене вредности и сл.</w:t>
      </w:r>
    </w:p>
    <w:p>
      <w:pPr>
        <w:pStyle w:val="BodyText"/>
        <w:spacing w:before="121"/>
        <w:ind w:right="716" w:firstLine="719"/>
      </w:pPr>
      <w:r>
        <w:rPr/>
        <w:t>Мере активне политике запошљавања (АПЗ) и подршка локалним и регионалним иницијативама које су се спроводиле су мере које се примењују и у другим земљама ЕУ.</w:t>
      </w:r>
    </w:p>
    <w:p>
      <w:pPr>
        <w:pStyle w:val="BodyText"/>
        <w:spacing w:before="120"/>
        <w:ind w:right="716" w:firstLine="719"/>
      </w:pPr>
      <w:r>
        <w:rPr/>
        <w:t>Један од изазова у реализацији мера АПЗ односио се на таргетирање незапослених за укључивање у</w:t>
      </w:r>
      <w:r>
        <w:rPr>
          <w:spacing w:val="-1"/>
        </w:rPr>
        <w:t> </w:t>
      </w:r>
      <w:r>
        <w:rPr/>
        <w:t>мере АПЗ, јер је скоро 80% свих незапослених припадало најмање једној категорији</w:t>
      </w:r>
      <w:r>
        <w:rPr>
          <w:spacing w:val="-1"/>
        </w:rPr>
        <w:t> </w:t>
      </w:r>
      <w:r>
        <w:rPr/>
        <w:t>теже</w:t>
      </w:r>
      <w:r>
        <w:rPr>
          <w:spacing w:val="-4"/>
        </w:rPr>
        <w:t> </w:t>
      </w:r>
      <w:r>
        <w:rPr/>
        <w:t>запошљивих лица.</w:t>
      </w:r>
      <w:r>
        <w:rPr>
          <w:spacing w:val="-2"/>
        </w:rPr>
        <w:t> </w:t>
      </w:r>
      <w:r>
        <w:rPr/>
        <w:t>Овај</w:t>
      </w:r>
      <w:r>
        <w:rPr>
          <w:spacing w:val="-2"/>
        </w:rPr>
        <w:t> </w:t>
      </w:r>
      <w:r>
        <w:rPr/>
        <w:t>проблем</w:t>
      </w:r>
      <w:r>
        <w:rPr>
          <w:spacing w:val="-3"/>
        </w:rPr>
        <w:t> </w:t>
      </w:r>
      <w:r>
        <w:rPr/>
        <w:t>је</w:t>
      </w:r>
      <w:r>
        <w:rPr>
          <w:spacing w:val="-3"/>
        </w:rPr>
        <w:t> </w:t>
      </w:r>
      <w:r>
        <w:rPr/>
        <w:t>релативно успешно</w:t>
      </w:r>
      <w:r>
        <w:rPr>
          <w:spacing w:val="-2"/>
        </w:rPr>
        <w:t> </w:t>
      </w:r>
      <w:r>
        <w:rPr/>
        <w:t>решаван</w:t>
      </w:r>
      <w:r>
        <w:rPr>
          <w:spacing w:val="-1"/>
        </w:rPr>
        <w:t> </w:t>
      </w:r>
      <w:r>
        <w:rPr/>
        <w:t>проценом запошљивости лица, која садржи алгоритам који показује коме је потребно укључивање у мере у односу на индивидуалне карактеристике лица. Додатно, коришћен је и концепт вишеструке рањивости, где је приоритет у приступу интензивној интервенцији и финансијским мерама даван особама са вишеструким факторима рањивости.</w:t>
      </w:r>
    </w:p>
    <w:p>
      <w:pPr>
        <w:pStyle w:val="BodyText"/>
        <w:spacing w:before="120"/>
        <w:ind w:right="721" w:firstLine="719"/>
      </w:pPr>
      <w:r>
        <w:rPr/>
        <w:t>Оцењујући бруто ефекте финансијских мера АПЗ, истичу се високи ефекти мера субвенционисаног</w:t>
      </w:r>
      <w:r>
        <w:rPr>
          <w:spacing w:val="29"/>
        </w:rPr>
        <w:t>  </w:t>
      </w:r>
      <w:r>
        <w:rPr/>
        <w:t>запошљавања</w:t>
      </w:r>
      <w:r>
        <w:rPr>
          <w:spacing w:val="29"/>
        </w:rPr>
        <w:t>  </w:t>
      </w:r>
      <w:r>
        <w:rPr/>
        <w:t>(субвенција</w:t>
      </w:r>
      <w:r>
        <w:rPr>
          <w:spacing w:val="29"/>
        </w:rPr>
        <w:t>  </w:t>
      </w:r>
      <w:r>
        <w:rPr/>
        <w:t>за</w:t>
      </w:r>
      <w:r>
        <w:rPr>
          <w:spacing w:val="29"/>
        </w:rPr>
        <w:t>  </w:t>
      </w:r>
      <w:r>
        <w:rPr/>
        <w:t>самозапошљавање</w:t>
      </w:r>
      <w:r>
        <w:rPr>
          <w:spacing w:val="29"/>
        </w:rPr>
        <w:t>  </w:t>
      </w:r>
      <w:r>
        <w:rPr/>
        <w:t>и</w:t>
      </w:r>
      <w:r>
        <w:rPr>
          <w:spacing w:val="30"/>
        </w:rPr>
        <w:t>  </w:t>
      </w:r>
      <w:r>
        <w:rPr/>
        <w:t>субвенција</w:t>
      </w:r>
      <w:r>
        <w:rPr>
          <w:spacing w:val="28"/>
        </w:rPr>
        <w:t>  </w:t>
      </w:r>
      <w:r>
        <w:rPr>
          <w:spacing w:val="-5"/>
        </w:rPr>
        <w:t>за</w:t>
      </w:r>
    </w:p>
    <w:p>
      <w:pPr>
        <w:pStyle w:val="BodyText"/>
        <w:spacing w:before="143"/>
        <w:ind w:left="0"/>
        <w:jc w:val="left"/>
        <w:rPr>
          <w:sz w:val="20"/>
        </w:rPr>
      </w:pPr>
      <w:r>
        <w:rPr>
          <w:sz w:val="20"/>
        </w:rPr>
        <mc:AlternateContent>
          <mc:Choice Requires="wps">
            <w:drawing>
              <wp:anchor distT="0" distB="0" distL="0" distR="0" allowOverlap="1" layoutInCell="1" locked="0" behindDoc="1" simplePos="0" relativeHeight="487597568">
                <wp:simplePos x="0" y="0"/>
                <wp:positionH relativeFrom="page">
                  <wp:posOffset>914704</wp:posOffset>
                </wp:positionH>
                <wp:positionV relativeFrom="paragraph">
                  <wp:posOffset>252705</wp:posOffset>
                </wp:positionV>
                <wp:extent cx="1829435" cy="952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898064pt;width:144.020pt;height:.72003pt;mso-position-horizontal-relative:page;mso-position-vertical-relative:paragraph;z-index:-15718912;mso-wrap-distance-left:0;mso-wrap-distance-right:0" id="docshape22" filled="true" fillcolor="#000000" stroked="false">
                <v:fill type="solid"/>
                <w10:wrap type="topAndBottom"/>
              </v:rect>
            </w:pict>
          </mc:Fallback>
        </mc:AlternateContent>
      </w:r>
    </w:p>
    <w:p>
      <w:pPr>
        <w:spacing w:line="242" w:lineRule="auto" w:before="121"/>
        <w:ind w:left="360" w:right="713" w:firstLine="0"/>
        <w:jc w:val="left"/>
        <w:rPr>
          <w:sz w:val="18"/>
        </w:rPr>
      </w:pPr>
      <w:r>
        <w:rPr>
          <w:rFonts w:ascii="Calibri" w:hAnsi="Calibri"/>
          <w:sz w:val="18"/>
          <w:vertAlign w:val="superscript"/>
        </w:rPr>
        <w:t>32</w:t>
      </w:r>
      <w:r>
        <w:rPr>
          <w:rFonts w:ascii="Calibri" w:hAnsi="Calibri"/>
          <w:spacing w:val="22"/>
          <w:sz w:val="18"/>
          <w:vertAlign w:val="baseline"/>
        </w:rPr>
        <w:t> </w:t>
      </w:r>
      <w:r>
        <w:rPr>
          <w:sz w:val="18"/>
          <w:vertAlign w:val="baseline"/>
        </w:rPr>
        <w:t>Извор:</w:t>
      </w:r>
      <w:r>
        <w:rPr>
          <w:spacing w:val="18"/>
          <w:sz w:val="18"/>
          <w:vertAlign w:val="baseline"/>
        </w:rPr>
        <w:t> </w:t>
      </w:r>
      <w:r>
        <w:rPr>
          <w:sz w:val="18"/>
          <w:vertAlign w:val="baseline"/>
        </w:rPr>
        <w:t>Фискална</w:t>
      </w:r>
      <w:r>
        <w:rPr>
          <w:spacing w:val="18"/>
          <w:sz w:val="18"/>
          <w:vertAlign w:val="baseline"/>
        </w:rPr>
        <w:t> </w:t>
      </w:r>
      <w:r>
        <w:rPr>
          <w:sz w:val="18"/>
          <w:vertAlign w:val="baseline"/>
        </w:rPr>
        <w:t>стратегија</w:t>
      </w:r>
      <w:r>
        <w:rPr>
          <w:spacing w:val="19"/>
          <w:sz w:val="18"/>
          <w:vertAlign w:val="baseline"/>
        </w:rPr>
        <w:t> </w:t>
      </w:r>
      <w:r>
        <w:rPr>
          <w:sz w:val="18"/>
          <w:vertAlign w:val="baseline"/>
        </w:rPr>
        <w:t>за</w:t>
      </w:r>
      <w:r>
        <w:rPr>
          <w:spacing w:val="19"/>
          <w:sz w:val="18"/>
          <w:vertAlign w:val="baseline"/>
        </w:rPr>
        <w:t> </w:t>
      </w:r>
      <w:r>
        <w:rPr>
          <w:sz w:val="18"/>
          <w:vertAlign w:val="baseline"/>
        </w:rPr>
        <w:t>2021.</w:t>
      </w:r>
      <w:r>
        <w:rPr>
          <w:spacing w:val="17"/>
          <w:sz w:val="18"/>
          <w:vertAlign w:val="baseline"/>
        </w:rPr>
        <w:t> </w:t>
      </w:r>
      <w:r>
        <w:rPr>
          <w:sz w:val="18"/>
          <w:vertAlign w:val="baseline"/>
        </w:rPr>
        <w:t>годину</w:t>
      </w:r>
      <w:r>
        <w:rPr>
          <w:spacing w:val="16"/>
          <w:sz w:val="18"/>
          <w:vertAlign w:val="baseline"/>
        </w:rPr>
        <w:t> </w:t>
      </w:r>
      <w:r>
        <w:rPr>
          <w:sz w:val="18"/>
          <w:vertAlign w:val="baseline"/>
        </w:rPr>
        <w:t>са</w:t>
      </w:r>
      <w:r>
        <w:rPr>
          <w:spacing w:val="19"/>
          <w:sz w:val="18"/>
          <w:vertAlign w:val="baseline"/>
        </w:rPr>
        <w:t> </w:t>
      </w:r>
      <w:r>
        <w:rPr>
          <w:sz w:val="18"/>
          <w:vertAlign w:val="baseline"/>
        </w:rPr>
        <w:t>пројекцијама</w:t>
      </w:r>
      <w:r>
        <w:rPr>
          <w:spacing w:val="21"/>
          <w:sz w:val="18"/>
          <w:vertAlign w:val="baseline"/>
        </w:rPr>
        <w:t> </w:t>
      </w:r>
      <w:r>
        <w:rPr>
          <w:sz w:val="18"/>
          <w:vertAlign w:val="baseline"/>
        </w:rPr>
        <w:t>за</w:t>
      </w:r>
      <w:r>
        <w:rPr>
          <w:spacing w:val="16"/>
          <w:sz w:val="18"/>
          <w:vertAlign w:val="baseline"/>
        </w:rPr>
        <w:t> </w:t>
      </w:r>
      <w:r>
        <w:rPr>
          <w:sz w:val="18"/>
          <w:vertAlign w:val="baseline"/>
        </w:rPr>
        <w:t>2022.</w:t>
      </w:r>
      <w:r>
        <w:rPr>
          <w:spacing w:val="20"/>
          <w:sz w:val="18"/>
          <w:vertAlign w:val="baseline"/>
        </w:rPr>
        <w:t> </w:t>
      </w:r>
      <w:r>
        <w:rPr>
          <w:sz w:val="18"/>
          <w:vertAlign w:val="baseline"/>
        </w:rPr>
        <w:t>и</w:t>
      </w:r>
      <w:r>
        <w:rPr>
          <w:spacing w:val="17"/>
          <w:sz w:val="18"/>
          <w:vertAlign w:val="baseline"/>
        </w:rPr>
        <w:t> </w:t>
      </w:r>
      <w:r>
        <w:rPr>
          <w:sz w:val="18"/>
          <w:vertAlign w:val="baseline"/>
        </w:rPr>
        <w:t>2023.</w:t>
      </w:r>
      <w:r>
        <w:rPr>
          <w:spacing w:val="18"/>
          <w:sz w:val="18"/>
          <w:vertAlign w:val="baseline"/>
        </w:rPr>
        <w:t> </w:t>
      </w:r>
      <w:r>
        <w:rPr>
          <w:sz w:val="18"/>
          <w:vertAlign w:val="baseline"/>
        </w:rPr>
        <w:t>годину</w:t>
      </w:r>
      <w:r>
        <w:rPr>
          <w:spacing w:val="16"/>
          <w:sz w:val="18"/>
          <w:vertAlign w:val="baseline"/>
        </w:rPr>
        <w:t> </w:t>
      </w:r>
      <w:r>
        <w:rPr>
          <w:sz w:val="18"/>
          <w:vertAlign w:val="baseline"/>
        </w:rPr>
        <w:t>(„Службени</w:t>
      </w:r>
      <w:r>
        <w:rPr>
          <w:spacing w:val="19"/>
          <w:sz w:val="18"/>
          <w:vertAlign w:val="baseline"/>
        </w:rPr>
        <w:t> </w:t>
      </w:r>
      <w:r>
        <w:rPr>
          <w:sz w:val="18"/>
          <w:vertAlign w:val="baseline"/>
        </w:rPr>
        <w:t>гласник</w:t>
      </w:r>
      <w:r>
        <w:rPr>
          <w:spacing w:val="18"/>
          <w:sz w:val="18"/>
          <w:vertAlign w:val="baseline"/>
        </w:rPr>
        <w:t> </w:t>
      </w:r>
      <w:r>
        <w:rPr>
          <w:sz w:val="18"/>
          <w:vertAlign w:val="baseline"/>
        </w:rPr>
        <w:t>РСˮ,</w:t>
      </w:r>
      <w:r>
        <w:rPr>
          <w:spacing w:val="20"/>
          <w:sz w:val="18"/>
          <w:vertAlign w:val="baseline"/>
        </w:rPr>
        <w:t> </w:t>
      </w:r>
      <w:r>
        <w:rPr>
          <w:sz w:val="18"/>
          <w:vertAlign w:val="baseline"/>
        </w:rPr>
        <w:t>број </w:t>
      </w:r>
      <w:r>
        <w:rPr>
          <w:spacing w:val="-2"/>
          <w:sz w:val="18"/>
          <w:vertAlign w:val="baseline"/>
        </w:rPr>
        <w:t>142/20)</w:t>
      </w:r>
    </w:p>
    <w:p>
      <w:pPr>
        <w:spacing w:after="0" w:line="242" w:lineRule="auto"/>
        <w:jc w:val="left"/>
        <w:rPr>
          <w:sz w:val="18"/>
        </w:rPr>
        <w:sectPr>
          <w:pgSz w:w="12240" w:h="15840"/>
          <w:pgMar w:header="0" w:footer="702" w:top="1360" w:bottom="900" w:left="1080" w:right="720"/>
        </w:sectPr>
      </w:pPr>
    </w:p>
    <w:p>
      <w:pPr>
        <w:pStyle w:val="BodyText"/>
        <w:spacing w:before="72"/>
        <w:ind w:right="718"/>
      </w:pPr>
      <w:r>
        <w:rPr/>
        <w:t>отварање нових радних места/за запошљавање лица из категорија теже запошљивих), посебно</w:t>
      </w:r>
      <w:r>
        <w:rPr>
          <w:spacing w:val="-4"/>
        </w:rPr>
        <w:t> </w:t>
      </w:r>
      <w:r>
        <w:rPr/>
        <w:t>након</w:t>
      </w:r>
      <w:r>
        <w:rPr>
          <w:spacing w:val="-4"/>
        </w:rPr>
        <w:t> </w:t>
      </w:r>
      <w:r>
        <w:rPr/>
        <w:t>редизајна</w:t>
      </w:r>
      <w:r>
        <w:rPr>
          <w:spacing w:val="-5"/>
        </w:rPr>
        <w:t> </w:t>
      </w:r>
      <w:r>
        <w:rPr/>
        <w:t>ових</w:t>
      </w:r>
      <w:r>
        <w:rPr>
          <w:spacing w:val="-2"/>
        </w:rPr>
        <w:t> </w:t>
      </w:r>
      <w:r>
        <w:rPr/>
        <w:t>мера,</w:t>
      </w:r>
      <w:r>
        <w:rPr>
          <w:spacing w:val="-2"/>
        </w:rPr>
        <w:t> </w:t>
      </w:r>
      <w:r>
        <w:rPr/>
        <w:t>у</w:t>
      </w:r>
      <w:r>
        <w:rPr>
          <w:spacing w:val="-11"/>
        </w:rPr>
        <w:t> </w:t>
      </w:r>
      <w:r>
        <w:rPr/>
        <w:t>2016.</w:t>
      </w:r>
      <w:r>
        <w:rPr>
          <w:spacing w:val="-4"/>
        </w:rPr>
        <w:t> </w:t>
      </w:r>
      <w:r>
        <w:rPr/>
        <w:t>и</w:t>
      </w:r>
      <w:r>
        <w:rPr>
          <w:spacing w:val="-4"/>
        </w:rPr>
        <w:t> </w:t>
      </w:r>
      <w:r>
        <w:rPr/>
        <w:t>2017.</w:t>
      </w:r>
      <w:r>
        <w:rPr>
          <w:spacing w:val="-4"/>
        </w:rPr>
        <w:t> </w:t>
      </w:r>
      <w:r>
        <w:rPr/>
        <w:t>години,</w:t>
      </w:r>
      <w:r>
        <w:rPr>
          <w:spacing w:val="-4"/>
        </w:rPr>
        <w:t> </w:t>
      </w:r>
      <w:r>
        <w:rPr/>
        <w:t>највише</w:t>
      </w:r>
      <w:r>
        <w:rPr>
          <w:spacing w:val="-5"/>
        </w:rPr>
        <w:t> </w:t>
      </w:r>
      <w:r>
        <w:rPr/>
        <w:t>захваљујући</w:t>
      </w:r>
      <w:r>
        <w:rPr>
          <w:spacing w:val="-4"/>
        </w:rPr>
        <w:t> </w:t>
      </w:r>
      <w:r>
        <w:rPr/>
        <w:t>повећању селективности и усмерености ка теже запошљивим лицима. У истом периоду је дошло до пада ефикасности мере јавни радови, будући да је мера редизајнирана на начин да лица не заснивају радни однос, него се радно ангажују на привременим и повременим пословима, али је та мера показала да и даље обавља своју примарну функцију а то је први контакт угрожених група са тржиштем рада. Већи значај било је потребно дати програмима додатног образовања и обуке, посебно када су у питању млади, нискоквалификовани и дугорочно незапослени.</w:t>
      </w:r>
    </w:p>
    <w:p>
      <w:pPr>
        <w:pStyle w:val="BodyText"/>
        <w:spacing w:before="120"/>
        <w:ind w:right="719" w:firstLine="719"/>
      </w:pPr>
      <w:r>
        <w:rPr/>
        <w:t>Исходи који су посматрани су постигнути уз веома скромна расположива средства за мере АПЗ (повећање ових средстава не само што није остварено, него су средства и смањена у</w:t>
      </w:r>
      <w:r>
        <w:rPr>
          <w:spacing w:val="-3"/>
        </w:rPr>
        <w:t> </w:t>
      </w:r>
      <w:r>
        <w:rPr/>
        <w:t>односу</w:t>
      </w:r>
      <w:r>
        <w:rPr>
          <w:spacing w:val="-3"/>
        </w:rPr>
        <w:t> </w:t>
      </w:r>
      <w:r>
        <w:rPr/>
        <w:t>на почетну</w:t>
      </w:r>
      <w:r>
        <w:rPr>
          <w:spacing w:val="-3"/>
        </w:rPr>
        <w:t> </w:t>
      </w:r>
      <w:r>
        <w:rPr/>
        <w:t>вредност односно буџет је све време примене стратегије био испод или око 0,1% БДП, што је међу сразмерно најмањим буџетима у Европи и региону) па би их требало тумачити не само као успех Националне стратегије запошљавања за период 2011-2020. године, већ и као резултат примењене макроекономске политике и спроведених структурних реформи, као и повољног окружења. Средства која се издвајају за финансирање мера намењених ОСИ и предузећима за професионалну</w:t>
      </w:r>
      <w:r>
        <w:rPr>
          <w:spacing w:val="-3"/>
        </w:rPr>
        <w:t> </w:t>
      </w:r>
      <w:r>
        <w:rPr/>
        <w:t>рехабилитацију</w:t>
      </w:r>
      <w:r>
        <w:rPr>
          <w:spacing w:val="-3"/>
        </w:rPr>
        <w:t> </w:t>
      </w:r>
      <w:r>
        <w:rPr/>
        <w:t>и запошљавање ОСИ могла су бити значајно већа, посебно када се сагледају у односу на прилив средстава у Буџетски фонд (по основу обавеза запошљавања ОСИ уколико се послодавци определе да обавезу реализују уплатом средстава у Буџетски фонд).</w:t>
      </w:r>
    </w:p>
    <w:p>
      <w:pPr>
        <w:pStyle w:val="BodyText"/>
        <w:spacing w:before="121"/>
        <w:ind w:right="714" w:firstLine="719"/>
      </w:pPr>
      <w:r>
        <w:rPr/>
        <w:t>Остваривању резултата и реализацији ширих циљева Националне стратегије запошљавања за период 2011-2020. године у значајној мери су допринела средства из додатних фондова (донаторска средства), чак и кад нису у себи садржавала компоненту директних грантова.</w:t>
      </w:r>
    </w:p>
    <w:p>
      <w:pPr>
        <w:pStyle w:val="BodyText"/>
        <w:spacing w:before="121"/>
        <w:ind w:right="713" w:firstLine="719"/>
      </w:pPr>
      <w:r>
        <w:rPr/>
        <w:t>Разлике у нивоу економске развијености између појединих региона у Србији одражавају се и на специфичне услове и карактеристике локалних тржишта рада. Ово је у највећој мери утицало на потребу да се у локалним срединама идентификују најрањивије категорије незапослених, као и прецизирају циљне групе којима је потребно пружити подршку у запошљавању, због чега је укључивање јединица локалних самоуправа (ЈЛС) у планирање и спровођење мера АПЗ кроз локалне акционе планове запошљавања (ЛАПЗ) представљало позитивни помак у правцу децентрализације. Суфинансирање мера АПЗ утврђених у ЛАПЗ средствима из буџета Републике Србије, које је омогућено Законом о запошљавању</w:t>
      </w:r>
      <w:r>
        <w:rPr>
          <w:spacing w:val="-15"/>
        </w:rPr>
        <w:t> </w:t>
      </w:r>
      <w:r>
        <w:rPr/>
        <w:t>и</w:t>
      </w:r>
      <w:r>
        <w:rPr>
          <w:spacing w:val="-10"/>
        </w:rPr>
        <w:t> </w:t>
      </w:r>
      <w:r>
        <w:rPr/>
        <w:t>осигурању</w:t>
      </w:r>
      <w:r>
        <w:rPr>
          <w:spacing w:val="-15"/>
        </w:rPr>
        <w:t> </w:t>
      </w:r>
      <w:r>
        <w:rPr/>
        <w:t>за</w:t>
      </w:r>
      <w:r>
        <w:rPr>
          <w:spacing w:val="-12"/>
        </w:rPr>
        <w:t> </w:t>
      </w:r>
      <w:r>
        <w:rPr/>
        <w:t>случај</w:t>
      </w:r>
      <w:r>
        <w:rPr>
          <w:spacing w:val="-10"/>
        </w:rPr>
        <w:t> </w:t>
      </w:r>
      <w:r>
        <w:rPr/>
        <w:t>незапослености</w:t>
      </w:r>
      <w:r>
        <w:rPr>
          <w:spacing w:val="-11"/>
        </w:rPr>
        <w:t> </w:t>
      </w:r>
      <w:r>
        <w:rPr/>
        <w:t>из</w:t>
      </w:r>
      <w:r>
        <w:rPr>
          <w:spacing w:val="-12"/>
        </w:rPr>
        <w:t> </w:t>
      </w:r>
      <w:r>
        <w:rPr/>
        <w:t>2009.</w:t>
      </w:r>
      <w:r>
        <w:rPr>
          <w:spacing w:val="-11"/>
        </w:rPr>
        <w:t> </w:t>
      </w:r>
      <w:r>
        <w:rPr/>
        <w:t>године,</w:t>
      </w:r>
      <w:r>
        <w:rPr>
          <w:spacing w:val="-11"/>
        </w:rPr>
        <w:t> </w:t>
      </w:r>
      <w:r>
        <w:rPr/>
        <w:t>иновативно</w:t>
      </w:r>
      <w:r>
        <w:rPr>
          <w:spacing w:val="-11"/>
        </w:rPr>
        <w:t> </w:t>
      </w:r>
      <w:r>
        <w:rPr/>
        <w:t>је</w:t>
      </w:r>
      <w:r>
        <w:rPr>
          <w:spacing w:val="-11"/>
        </w:rPr>
        <w:t> </w:t>
      </w:r>
      <w:r>
        <w:rPr/>
        <w:t>решење којим су локални актери подстакнути да креирају решења релевантна за локално тржиште рада. Непосредно пре почетка спровођења Националне стратегије запошљавања за период 2011-2020. године, током 2010. године, било је основано свега 10 локалних савета за запошљавање (ЛСЗ), као саветодавних тела која окупљају релевантне актере, а чије је постојање услов за суфинансирање ЛАПЗ, да би 2019. године 101 ЈЛС реализовала ЛАПЗ уз суфинансирање, док је 56 ЈЛС финансирало мере АПЗ самостално, средстава локалног буџета. Финансијска средства која ЈЛС опредељују за реализацију мера АПЗ троструко су се увећала у периоду спровођења ове стратегије. Локална политика запошљавања која је евидентно доживела експанзију од 2011. године, један је од најупечатљивијих резултата наведене стратегије. Међутим, промене и висока флуктуација појединаца из ЈЛС који су претходно прошли обуку за израду ЛАПЗ и учествовали у давању смерница за планирање мера</w:t>
      </w:r>
      <w:r>
        <w:rPr>
          <w:spacing w:val="43"/>
        </w:rPr>
        <w:t> </w:t>
      </w:r>
      <w:r>
        <w:rPr/>
        <w:t>на</w:t>
      </w:r>
      <w:r>
        <w:rPr>
          <w:spacing w:val="45"/>
        </w:rPr>
        <w:t> </w:t>
      </w:r>
      <w:r>
        <w:rPr/>
        <w:t>основу</w:t>
      </w:r>
      <w:r>
        <w:rPr>
          <w:spacing w:val="40"/>
        </w:rPr>
        <w:t> </w:t>
      </w:r>
      <w:r>
        <w:rPr/>
        <w:t>локалних</w:t>
      </w:r>
      <w:r>
        <w:rPr>
          <w:spacing w:val="46"/>
        </w:rPr>
        <w:t> </w:t>
      </w:r>
      <w:r>
        <w:rPr/>
        <w:t>потреба,</w:t>
      </w:r>
      <w:r>
        <w:rPr>
          <w:spacing w:val="51"/>
        </w:rPr>
        <w:t> </w:t>
      </w:r>
      <w:r>
        <w:rPr/>
        <w:t>представљају</w:t>
      </w:r>
      <w:r>
        <w:rPr>
          <w:spacing w:val="41"/>
        </w:rPr>
        <w:t> </w:t>
      </w:r>
      <w:r>
        <w:rPr/>
        <w:t>једну</w:t>
      </w:r>
      <w:r>
        <w:rPr>
          <w:spacing w:val="42"/>
        </w:rPr>
        <w:t> </w:t>
      </w:r>
      <w:r>
        <w:rPr/>
        <w:t>од</w:t>
      </w:r>
      <w:r>
        <w:rPr>
          <w:spacing w:val="47"/>
        </w:rPr>
        <w:t> </w:t>
      </w:r>
      <w:r>
        <w:rPr/>
        <w:t>препрека</w:t>
      </w:r>
      <w:r>
        <w:rPr>
          <w:spacing w:val="46"/>
        </w:rPr>
        <w:t> </w:t>
      </w:r>
      <w:r>
        <w:rPr/>
        <w:t>за</w:t>
      </w:r>
      <w:r>
        <w:rPr>
          <w:spacing w:val="45"/>
        </w:rPr>
        <w:t> </w:t>
      </w:r>
      <w:r>
        <w:rPr/>
        <w:t>даљу</w:t>
      </w:r>
      <w:r>
        <w:rPr>
          <w:spacing w:val="42"/>
        </w:rPr>
        <w:t> </w:t>
      </w:r>
      <w:r>
        <w:rPr>
          <w:spacing w:val="-2"/>
        </w:rPr>
        <w:t>експанзију</w:t>
      </w:r>
    </w:p>
    <w:p>
      <w:pPr>
        <w:pStyle w:val="BodyText"/>
        <w:spacing w:after="0"/>
        <w:sectPr>
          <w:pgSz w:w="12240" w:h="15840"/>
          <w:pgMar w:header="0" w:footer="702" w:top="1360" w:bottom="900" w:left="1080" w:right="720"/>
        </w:sectPr>
      </w:pPr>
    </w:p>
    <w:p>
      <w:pPr>
        <w:pStyle w:val="BodyText"/>
        <w:spacing w:before="72"/>
        <w:ind w:right="714"/>
      </w:pPr>
      <w:r>
        <w:rPr/>
        <w:t>локалних програма, односно даљег процеса планирања ЛАПЗ и креирања специфичних мера АПЗ које се могу применити на локалним тржиштима рада кроз већ успостављен механизам</w:t>
      </w:r>
      <w:r>
        <w:rPr>
          <w:spacing w:val="-5"/>
        </w:rPr>
        <w:t> </w:t>
      </w:r>
      <w:r>
        <w:rPr/>
        <w:t>сарадње</w:t>
      </w:r>
      <w:r>
        <w:rPr>
          <w:spacing w:val="-4"/>
        </w:rPr>
        <w:t> </w:t>
      </w:r>
      <w:r>
        <w:rPr/>
        <w:t>са</w:t>
      </w:r>
      <w:r>
        <w:rPr>
          <w:spacing w:val="-2"/>
        </w:rPr>
        <w:t> </w:t>
      </w:r>
      <w:r>
        <w:rPr/>
        <w:t>Министарством</w:t>
      </w:r>
      <w:r>
        <w:rPr>
          <w:spacing w:val="-4"/>
        </w:rPr>
        <w:t> </w:t>
      </w:r>
      <w:r>
        <w:rPr/>
        <w:t>за</w:t>
      </w:r>
      <w:r>
        <w:rPr>
          <w:spacing w:val="-5"/>
        </w:rPr>
        <w:t> </w:t>
      </w:r>
      <w:r>
        <w:rPr/>
        <w:t>рад,</w:t>
      </w:r>
      <w:r>
        <w:rPr>
          <w:spacing w:val="-2"/>
        </w:rPr>
        <w:t> </w:t>
      </w:r>
      <w:r>
        <w:rPr/>
        <w:t>запошљавање,</w:t>
      </w:r>
      <w:r>
        <w:rPr>
          <w:spacing w:val="-4"/>
        </w:rPr>
        <w:t> </w:t>
      </w:r>
      <w:r>
        <w:rPr/>
        <w:t>борачка</w:t>
      </w:r>
      <w:r>
        <w:rPr>
          <w:spacing w:val="-3"/>
        </w:rPr>
        <w:t> </w:t>
      </w:r>
      <w:r>
        <w:rPr/>
        <w:t>и</w:t>
      </w:r>
      <w:r>
        <w:rPr>
          <w:spacing w:val="-4"/>
        </w:rPr>
        <w:t> </w:t>
      </w:r>
      <w:r>
        <w:rPr/>
        <w:t>социјална</w:t>
      </w:r>
      <w:r>
        <w:rPr>
          <w:spacing w:val="-5"/>
        </w:rPr>
        <w:t> </w:t>
      </w:r>
      <w:r>
        <w:rPr/>
        <w:t>питања и НСЗ и уз учешће релевантних партнера.</w:t>
      </w:r>
    </w:p>
    <w:p>
      <w:pPr>
        <w:pStyle w:val="BodyText"/>
        <w:spacing w:before="120"/>
        <w:ind w:right="714" w:firstLine="719"/>
      </w:pPr>
      <w:r>
        <w:rPr/>
        <w:t>Поред мера АПЗ које су усмераване ка мање развијеним подручјима у већим износима (нпр. висина субвенције послодавцима за запошљавање незапослених лица из категорије</w:t>
      </w:r>
      <w:r>
        <w:rPr>
          <w:spacing w:val="-15"/>
        </w:rPr>
        <w:t> </w:t>
      </w:r>
      <w:r>
        <w:rPr/>
        <w:t>теже</w:t>
      </w:r>
      <w:r>
        <w:rPr>
          <w:spacing w:val="-15"/>
        </w:rPr>
        <w:t> </w:t>
      </w:r>
      <w:r>
        <w:rPr/>
        <w:t>запошљивих</w:t>
      </w:r>
      <w:r>
        <w:rPr>
          <w:spacing w:val="-15"/>
        </w:rPr>
        <w:t> </w:t>
      </w:r>
      <w:r>
        <w:rPr/>
        <w:t>зависила</w:t>
      </w:r>
      <w:r>
        <w:rPr>
          <w:spacing w:val="-15"/>
        </w:rPr>
        <w:t> </w:t>
      </w:r>
      <w:r>
        <w:rPr/>
        <w:t>је</w:t>
      </w:r>
      <w:r>
        <w:rPr>
          <w:spacing w:val="-15"/>
        </w:rPr>
        <w:t> </w:t>
      </w:r>
      <w:r>
        <w:rPr/>
        <w:t>од</w:t>
      </w:r>
      <w:r>
        <w:rPr>
          <w:spacing w:val="-15"/>
        </w:rPr>
        <w:t> </w:t>
      </w:r>
      <w:r>
        <w:rPr/>
        <w:t>степена</w:t>
      </w:r>
      <w:r>
        <w:rPr>
          <w:spacing w:val="-15"/>
        </w:rPr>
        <w:t> </w:t>
      </w:r>
      <w:r>
        <w:rPr/>
        <w:t>развијености</w:t>
      </w:r>
      <w:r>
        <w:rPr>
          <w:spacing w:val="-15"/>
        </w:rPr>
        <w:t> </w:t>
      </w:r>
      <w:r>
        <w:rPr/>
        <w:t>ЈЛС),</w:t>
      </w:r>
      <w:r>
        <w:rPr>
          <w:spacing w:val="-15"/>
        </w:rPr>
        <w:t> </w:t>
      </w:r>
      <w:r>
        <w:rPr/>
        <w:t>из</w:t>
      </w:r>
      <w:r>
        <w:rPr>
          <w:spacing w:val="-15"/>
        </w:rPr>
        <w:t> </w:t>
      </w:r>
      <w:r>
        <w:rPr/>
        <w:t>буџета</w:t>
      </w:r>
      <w:r>
        <w:rPr>
          <w:spacing w:val="-15"/>
        </w:rPr>
        <w:t> </w:t>
      </w:r>
      <w:r>
        <w:rPr/>
        <w:t>РС</w:t>
      </w:r>
      <w:r>
        <w:rPr>
          <w:spacing w:val="-15"/>
        </w:rPr>
        <w:t> </w:t>
      </w:r>
      <w:r>
        <w:rPr/>
        <w:t>у</w:t>
      </w:r>
      <w:r>
        <w:rPr>
          <w:spacing w:val="-15"/>
        </w:rPr>
        <w:t> </w:t>
      </w:r>
      <w:r>
        <w:rPr/>
        <w:t>већем обиму су одобравана средства за суфинанирање ЛАПЗ из мање развијених подручја, али није осигурано да поред наведених критеријума, програми додатног образовања и обука буду значајније подржани. Подела ЈЛС по степенима развијености која се користила за утврђивање</w:t>
      </w:r>
      <w:r>
        <w:rPr>
          <w:spacing w:val="-11"/>
        </w:rPr>
        <w:t> </w:t>
      </w:r>
      <w:r>
        <w:rPr/>
        <w:t>критеријума</w:t>
      </w:r>
      <w:r>
        <w:rPr>
          <w:spacing w:val="-11"/>
        </w:rPr>
        <w:t> </w:t>
      </w:r>
      <w:r>
        <w:rPr/>
        <w:t>и</w:t>
      </w:r>
      <w:r>
        <w:rPr>
          <w:spacing w:val="-9"/>
        </w:rPr>
        <w:t> </w:t>
      </w:r>
      <w:r>
        <w:rPr/>
        <w:t>приоритета</w:t>
      </w:r>
      <w:r>
        <w:rPr>
          <w:spacing w:val="-13"/>
        </w:rPr>
        <w:t> </w:t>
      </w:r>
      <w:r>
        <w:rPr/>
        <w:t>није</w:t>
      </w:r>
      <w:r>
        <w:rPr>
          <w:spacing w:val="-10"/>
        </w:rPr>
        <w:t> </w:t>
      </w:r>
      <w:r>
        <w:rPr/>
        <w:t>се</w:t>
      </w:r>
      <w:r>
        <w:rPr>
          <w:spacing w:val="-13"/>
        </w:rPr>
        <w:t> </w:t>
      </w:r>
      <w:r>
        <w:rPr/>
        <w:t>мењала</w:t>
      </w:r>
      <w:r>
        <w:rPr>
          <w:spacing w:val="-11"/>
        </w:rPr>
        <w:t> </w:t>
      </w:r>
      <w:r>
        <w:rPr/>
        <w:t>од</w:t>
      </w:r>
      <w:r>
        <w:rPr>
          <w:spacing w:val="-9"/>
        </w:rPr>
        <w:t> </w:t>
      </w:r>
      <w:r>
        <w:rPr/>
        <w:t>2014.</w:t>
      </w:r>
      <w:r>
        <w:rPr>
          <w:spacing w:val="-10"/>
        </w:rPr>
        <w:t> </w:t>
      </w:r>
      <w:r>
        <w:rPr/>
        <w:t>године</w:t>
      </w:r>
      <w:r>
        <w:rPr>
          <w:spacing w:val="-13"/>
        </w:rPr>
        <w:t> </w:t>
      </w:r>
      <w:r>
        <w:rPr/>
        <w:t>па</w:t>
      </w:r>
      <w:r>
        <w:rPr>
          <w:spacing w:val="-11"/>
        </w:rPr>
        <w:t> </w:t>
      </w:r>
      <w:r>
        <w:rPr/>
        <w:t>је</w:t>
      </w:r>
      <w:r>
        <w:rPr>
          <w:spacing w:val="-11"/>
        </w:rPr>
        <w:t> </w:t>
      </w:r>
      <w:r>
        <w:rPr/>
        <w:t>остало</w:t>
      </w:r>
      <w:r>
        <w:rPr>
          <w:spacing w:val="-10"/>
        </w:rPr>
        <w:t> </w:t>
      </w:r>
      <w:r>
        <w:rPr/>
        <w:t>отворено питање</w:t>
      </w:r>
      <w:r>
        <w:rPr>
          <w:spacing w:val="-15"/>
        </w:rPr>
        <w:t> </w:t>
      </w:r>
      <w:r>
        <w:rPr/>
        <w:t>да</w:t>
      </w:r>
      <w:r>
        <w:rPr>
          <w:spacing w:val="-15"/>
        </w:rPr>
        <w:t> </w:t>
      </w:r>
      <w:r>
        <w:rPr/>
        <w:t>ли</w:t>
      </w:r>
      <w:r>
        <w:rPr>
          <w:spacing w:val="-15"/>
        </w:rPr>
        <w:t> </w:t>
      </w:r>
      <w:r>
        <w:rPr/>
        <w:t>би</w:t>
      </w:r>
      <w:r>
        <w:rPr>
          <w:spacing w:val="-15"/>
        </w:rPr>
        <w:t> </w:t>
      </w:r>
      <w:r>
        <w:rPr/>
        <w:t>промене</w:t>
      </w:r>
      <w:r>
        <w:rPr>
          <w:spacing w:val="-15"/>
        </w:rPr>
        <w:t> </w:t>
      </w:r>
      <w:r>
        <w:rPr/>
        <w:t>које</w:t>
      </w:r>
      <w:r>
        <w:rPr>
          <w:spacing w:val="-15"/>
        </w:rPr>
        <w:t> </w:t>
      </w:r>
      <w:r>
        <w:rPr/>
        <w:t>су</w:t>
      </w:r>
      <w:r>
        <w:rPr>
          <w:spacing w:val="-15"/>
        </w:rPr>
        <w:t> </w:t>
      </w:r>
      <w:r>
        <w:rPr/>
        <w:t>се</w:t>
      </w:r>
      <w:r>
        <w:rPr>
          <w:spacing w:val="-15"/>
        </w:rPr>
        <w:t> </w:t>
      </w:r>
      <w:r>
        <w:rPr/>
        <w:t>десиле</w:t>
      </w:r>
      <w:r>
        <w:rPr>
          <w:spacing w:val="-15"/>
        </w:rPr>
        <w:t> </w:t>
      </w:r>
      <w:r>
        <w:rPr/>
        <w:t>на</w:t>
      </w:r>
      <w:r>
        <w:rPr>
          <w:spacing w:val="-15"/>
        </w:rPr>
        <w:t> </w:t>
      </w:r>
      <w:r>
        <w:rPr/>
        <w:t>локалним</w:t>
      </w:r>
      <w:r>
        <w:rPr>
          <w:spacing w:val="-15"/>
        </w:rPr>
        <w:t> </w:t>
      </w:r>
      <w:r>
        <w:rPr/>
        <w:t>тржиштима</w:t>
      </w:r>
      <w:r>
        <w:rPr>
          <w:spacing w:val="-15"/>
        </w:rPr>
        <w:t> </w:t>
      </w:r>
      <w:r>
        <w:rPr/>
        <w:t>рада</w:t>
      </w:r>
      <w:r>
        <w:rPr>
          <w:spacing w:val="-15"/>
        </w:rPr>
        <w:t> </w:t>
      </w:r>
      <w:r>
        <w:rPr/>
        <w:t>и</w:t>
      </w:r>
      <w:r>
        <w:rPr>
          <w:spacing w:val="-15"/>
        </w:rPr>
        <w:t> </w:t>
      </w:r>
      <w:r>
        <w:rPr/>
        <w:t>други</w:t>
      </w:r>
      <w:r>
        <w:rPr>
          <w:spacing w:val="-15"/>
        </w:rPr>
        <w:t> </w:t>
      </w:r>
      <w:r>
        <w:rPr/>
        <w:t>индикатори утицале на другачију поделу ЈЛС по степенима развијености односно да ли је подршка усмеравана управо у</w:t>
      </w:r>
      <w:r>
        <w:rPr>
          <w:spacing w:val="-7"/>
        </w:rPr>
        <w:t> </w:t>
      </w:r>
      <w:r>
        <w:rPr/>
        <w:t>мање</w:t>
      </w:r>
      <w:r>
        <w:rPr>
          <w:spacing w:val="-3"/>
        </w:rPr>
        <w:t> </w:t>
      </w:r>
      <w:r>
        <w:rPr/>
        <w:t>развијене</w:t>
      </w:r>
      <w:r>
        <w:rPr>
          <w:spacing w:val="-3"/>
        </w:rPr>
        <w:t> </w:t>
      </w:r>
      <w:r>
        <w:rPr/>
        <w:t>ЈЛС</w:t>
      </w:r>
      <w:r>
        <w:rPr>
          <w:spacing w:val="-2"/>
        </w:rPr>
        <w:t> </w:t>
      </w:r>
      <w:r>
        <w:rPr/>
        <w:t>и</w:t>
      </w:r>
      <w:r>
        <w:rPr>
          <w:spacing w:val="-2"/>
        </w:rPr>
        <w:t> </w:t>
      </w:r>
      <w:r>
        <w:rPr/>
        <w:t>да</w:t>
      </w:r>
      <w:r>
        <w:rPr>
          <w:spacing w:val="-3"/>
        </w:rPr>
        <w:t> </w:t>
      </w:r>
      <w:r>
        <w:rPr/>
        <w:t>ли</w:t>
      </w:r>
      <w:r>
        <w:rPr>
          <w:spacing w:val="-1"/>
        </w:rPr>
        <w:t> </w:t>
      </w:r>
      <w:r>
        <w:rPr/>
        <w:t>се</w:t>
      </w:r>
      <w:r>
        <w:rPr>
          <w:spacing w:val="-3"/>
        </w:rPr>
        <w:t> </w:t>
      </w:r>
      <w:r>
        <w:rPr/>
        <w:t>постигла боља</w:t>
      </w:r>
      <w:r>
        <w:rPr>
          <w:spacing w:val="-3"/>
        </w:rPr>
        <w:t> </w:t>
      </w:r>
      <w:r>
        <w:rPr/>
        <w:t>дистрибуција</w:t>
      </w:r>
      <w:r>
        <w:rPr>
          <w:spacing w:val="-2"/>
        </w:rPr>
        <w:t> </w:t>
      </w:r>
      <w:r>
        <w:rPr/>
        <w:t>мера</w:t>
      </w:r>
      <w:r>
        <w:rPr>
          <w:spacing w:val="-2"/>
        </w:rPr>
        <w:t> </w:t>
      </w:r>
      <w:r>
        <w:rPr/>
        <w:t>АПЗ према неразвијеним и девастираним подручјима. са циљем смањења регионалних разлика.</w:t>
      </w:r>
    </w:p>
    <w:p>
      <w:pPr>
        <w:pStyle w:val="BodyText"/>
        <w:spacing w:before="121"/>
        <w:ind w:right="713" w:firstLine="719"/>
      </w:pPr>
      <w:r>
        <w:rPr/>
        <w:t>Подстицање уравнотеженијег регионалног развоја, између осталих инструмената, постизало се и усмеравањем инвестиција у мање развијене регионе. Мере подршке директним</w:t>
      </w:r>
      <w:r>
        <w:rPr>
          <w:spacing w:val="-1"/>
        </w:rPr>
        <w:t> </w:t>
      </w:r>
      <w:r>
        <w:rPr/>
        <w:t>инвестицијама</w:t>
      </w:r>
      <w:r>
        <w:rPr>
          <w:spacing w:val="-1"/>
        </w:rPr>
        <w:t> </w:t>
      </w:r>
      <w:r>
        <w:rPr/>
        <w:t>концепцијски су</w:t>
      </w:r>
      <w:r>
        <w:rPr>
          <w:spacing w:val="-5"/>
        </w:rPr>
        <w:t> </w:t>
      </w:r>
      <w:r>
        <w:rPr/>
        <w:t>биле усмерене</w:t>
      </w:r>
      <w:r>
        <w:rPr>
          <w:spacing w:val="-1"/>
        </w:rPr>
        <w:t> </w:t>
      </w:r>
      <w:r>
        <w:rPr/>
        <w:t>на подршку</w:t>
      </w:r>
      <w:r>
        <w:rPr>
          <w:spacing w:val="-3"/>
        </w:rPr>
        <w:t> </w:t>
      </w:r>
      <w:r>
        <w:rPr/>
        <w:t>економском</w:t>
      </w:r>
      <w:r>
        <w:rPr>
          <w:spacing w:val="-1"/>
        </w:rPr>
        <w:t> </w:t>
      </w:r>
      <w:r>
        <w:rPr/>
        <w:t>развоју и</w:t>
      </w:r>
      <w:r>
        <w:rPr>
          <w:spacing w:val="-6"/>
        </w:rPr>
        <w:t> </w:t>
      </w:r>
      <w:r>
        <w:rPr/>
        <w:t>продуктивној</w:t>
      </w:r>
      <w:r>
        <w:rPr>
          <w:spacing w:val="-7"/>
        </w:rPr>
        <w:t> </w:t>
      </w:r>
      <w:r>
        <w:rPr/>
        <w:t>запослености</w:t>
      </w:r>
      <w:r>
        <w:rPr>
          <w:spacing w:val="-3"/>
        </w:rPr>
        <w:t> </w:t>
      </w:r>
      <w:r>
        <w:rPr/>
        <w:t>у</w:t>
      </w:r>
      <w:r>
        <w:rPr>
          <w:spacing w:val="-12"/>
        </w:rPr>
        <w:t> </w:t>
      </w:r>
      <w:r>
        <w:rPr/>
        <w:t>приватном</w:t>
      </w:r>
      <w:r>
        <w:rPr>
          <w:spacing w:val="-8"/>
        </w:rPr>
        <w:t> </w:t>
      </w:r>
      <w:r>
        <w:rPr/>
        <w:t>сектору,</w:t>
      </w:r>
      <w:r>
        <w:rPr>
          <w:spacing w:val="-5"/>
        </w:rPr>
        <w:t> </w:t>
      </w:r>
      <w:r>
        <w:rPr/>
        <w:t>а</w:t>
      </w:r>
      <w:r>
        <w:rPr>
          <w:spacing w:val="-8"/>
        </w:rPr>
        <w:t> </w:t>
      </w:r>
      <w:r>
        <w:rPr/>
        <w:t>инвеститори</w:t>
      </w:r>
      <w:r>
        <w:rPr>
          <w:spacing w:val="-6"/>
        </w:rPr>
        <w:t> </w:t>
      </w:r>
      <w:r>
        <w:rPr/>
        <w:t>су</w:t>
      </w:r>
      <w:r>
        <w:rPr>
          <w:spacing w:val="-12"/>
        </w:rPr>
        <w:t> </w:t>
      </w:r>
      <w:r>
        <w:rPr/>
        <w:t>имали</w:t>
      </w:r>
      <w:r>
        <w:rPr>
          <w:spacing w:val="-6"/>
        </w:rPr>
        <w:t> </w:t>
      </w:r>
      <w:r>
        <w:rPr/>
        <w:t>слободу</w:t>
      </w:r>
      <w:r>
        <w:rPr>
          <w:spacing w:val="-12"/>
        </w:rPr>
        <w:t> </w:t>
      </w:r>
      <w:r>
        <w:rPr/>
        <w:t>избора радника,</w:t>
      </w:r>
      <w:r>
        <w:rPr>
          <w:spacing w:val="-7"/>
        </w:rPr>
        <w:t> </w:t>
      </w:r>
      <w:r>
        <w:rPr/>
        <w:t>независно</w:t>
      </w:r>
      <w:r>
        <w:rPr>
          <w:spacing w:val="-7"/>
        </w:rPr>
        <w:t> </w:t>
      </w:r>
      <w:r>
        <w:rPr/>
        <w:t>од</w:t>
      </w:r>
      <w:r>
        <w:rPr>
          <w:spacing w:val="-9"/>
        </w:rPr>
        <w:t> </w:t>
      </w:r>
      <w:r>
        <w:rPr/>
        <w:t>њиховог</w:t>
      </w:r>
      <w:r>
        <w:rPr>
          <w:spacing w:val="-8"/>
        </w:rPr>
        <w:t> </w:t>
      </w:r>
      <w:r>
        <w:rPr/>
        <w:t>статуса</w:t>
      </w:r>
      <w:r>
        <w:rPr>
          <w:spacing w:val="-8"/>
        </w:rPr>
        <w:t> </w:t>
      </w:r>
      <w:r>
        <w:rPr/>
        <w:t>на</w:t>
      </w:r>
      <w:r>
        <w:rPr>
          <w:spacing w:val="-8"/>
        </w:rPr>
        <w:t> </w:t>
      </w:r>
      <w:r>
        <w:rPr/>
        <w:t>тржишту</w:t>
      </w:r>
      <w:r>
        <w:rPr>
          <w:spacing w:val="-14"/>
        </w:rPr>
        <w:t> </w:t>
      </w:r>
      <w:r>
        <w:rPr/>
        <w:t>рада,</w:t>
      </w:r>
      <w:r>
        <w:rPr>
          <w:spacing w:val="-7"/>
        </w:rPr>
        <w:t> </w:t>
      </w:r>
      <w:r>
        <w:rPr/>
        <w:t>што</w:t>
      </w:r>
      <w:r>
        <w:rPr>
          <w:spacing w:val="-7"/>
        </w:rPr>
        <w:t> </w:t>
      </w:r>
      <w:r>
        <w:rPr/>
        <w:t>није</w:t>
      </w:r>
      <w:r>
        <w:rPr>
          <w:spacing w:val="-8"/>
        </w:rPr>
        <w:t> </w:t>
      </w:r>
      <w:r>
        <w:rPr/>
        <w:t>остављало</w:t>
      </w:r>
      <w:r>
        <w:rPr>
          <w:spacing w:val="-7"/>
        </w:rPr>
        <w:t> </w:t>
      </w:r>
      <w:r>
        <w:rPr/>
        <w:t>простор</w:t>
      </w:r>
      <w:r>
        <w:rPr>
          <w:spacing w:val="-7"/>
        </w:rPr>
        <w:t> </w:t>
      </w:r>
      <w:r>
        <w:rPr/>
        <w:t>да</w:t>
      </w:r>
      <w:r>
        <w:rPr>
          <w:spacing w:val="-8"/>
        </w:rPr>
        <w:t> </w:t>
      </w:r>
      <w:r>
        <w:rPr/>
        <w:t>се код</w:t>
      </w:r>
      <w:r>
        <w:rPr>
          <w:spacing w:val="-13"/>
        </w:rPr>
        <w:t> </w:t>
      </w:r>
      <w:r>
        <w:rPr/>
        <w:t>одобравања</w:t>
      </w:r>
      <w:r>
        <w:rPr>
          <w:spacing w:val="-14"/>
        </w:rPr>
        <w:t> </w:t>
      </w:r>
      <w:r>
        <w:rPr/>
        <w:t>овог</w:t>
      </w:r>
      <w:r>
        <w:rPr>
          <w:spacing w:val="-14"/>
        </w:rPr>
        <w:t> </w:t>
      </w:r>
      <w:r>
        <w:rPr/>
        <w:t>вида</w:t>
      </w:r>
      <w:r>
        <w:rPr>
          <w:spacing w:val="-14"/>
        </w:rPr>
        <w:t> </w:t>
      </w:r>
      <w:r>
        <w:rPr/>
        <w:t>подршке</w:t>
      </w:r>
      <w:r>
        <w:rPr>
          <w:spacing w:val="-14"/>
        </w:rPr>
        <w:t> </w:t>
      </w:r>
      <w:r>
        <w:rPr/>
        <w:t>већи</w:t>
      </w:r>
      <w:r>
        <w:rPr>
          <w:spacing w:val="-15"/>
        </w:rPr>
        <w:t> </w:t>
      </w:r>
      <w:r>
        <w:rPr/>
        <w:t>значај</w:t>
      </w:r>
      <w:r>
        <w:rPr>
          <w:spacing w:val="-15"/>
        </w:rPr>
        <w:t> </w:t>
      </w:r>
      <w:r>
        <w:rPr/>
        <w:t>да</w:t>
      </w:r>
      <w:r>
        <w:rPr>
          <w:spacing w:val="-14"/>
        </w:rPr>
        <w:t> </w:t>
      </w:r>
      <w:r>
        <w:rPr/>
        <w:t>запошљавању</w:t>
      </w:r>
      <w:r>
        <w:rPr>
          <w:spacing w:val="-14"/>
        </w:rPr>
        <w:t> </w:t>
      </w:r>
      <w:r>
        <w:rPr/>
        <w:t>рањивих</w:t>
      </w:r>
      <w:r>
        <w:rPr>
          <w:spacing w:val="-13"/>
        </w:rPr>
        <w:t> </w:t>
      </w:r>
      <w:r>
        <w:rPr/>
        <w:t>група</w:t>
      </w:r>
      <w:r>
        <w:rPr>
          <w:spacing w:val="-14"/>
        </w:rPr>
        <w:t> </w:t>
      </w:r>
      <w:r>
        <w:rPr/>
        <w:t>на</w:t>
      </w:r>
      <w:r>
        <w:rPr>
          <w:spacing w:val="-14"/>
        </w:rPr>
        <w:t> </w:t>
      </w:r>
      <w:r>
        <w:rPr/>
        <w:t>тржишту </w:t>
      </w:r>
      <w:r>
        <w:rPr>
          <w:spacing w:val="-2"/>
        </w:rPr>
        <w:t>рада.</w:t>
      </w:r>
    </w:p>
    <w:p>
      <w:pPr>
        <w:pStyle w:val="BodyText"/>
        <w:spacing w:before="121"/>
        <w:ind w:right="712" w:firstLine="719"/>
      </w:pPr>
      <w:r>
        <w:rPr/>
        <w:t>Ради унапређења људског капитала и социјалног укључивања који треба да допринесе привредном расту заснованом на знању, кроз усклађивање понуде и тражње на тржишту</w:t>
      </w:r>
      <w:r>
        <w:rPr>
          <w:spacing w:val="-7"/>
        </w:rPr>
        <w:t> </w:t>
      </w:r>
      <w:r>
        <w:rPr/>
        <w:t>рада, планиране су</w:t>
      </w:r>
      <w:r>
        <w:rPr>
          <w:spacing w:val="-4"/>
        </w:rPr>
        <w:t> </w:t>
      </w:r>
      <w:r>
        <w:rPr/>
        <w:t>бројне активности у</w:t>
      </w:r>
      <w:r>
        <w:rPr>
          <w:spacing w:val="-4"/>
        </w:rPr>
        <w:t> </w:t>
      </w:r>
      <w:r>
        <w:rPr/>
        <w:t>правцу: каријерног вођења и саветовања, повећања компетенција кроз стицање додатних знања и вештина путем кратких обука као и признавања знања и вештина стечених неформалним учењем. Резултати у спровођењу ових активности нису</w:t>
      </w:r>
      <w:r>
        <w:rPr>
          <w:spacing w:val="-3"/>
        </w:rPr>
        <w:t> </w:t>
      </w:r>
      <w:r>
        <w:rPr/>
        <w:t>остварени у</w:t>
      </w:r>
      <w:r>
        <w:rPr>
          <w:spacing w:val="-3"/>
        </w:rPr>
        <w:t> </w:t>
      </w:r>
      <w:r>
        <w:rPr/>
        <w:t>пуном обиму у периоду спровођења стратегије. Закон о Националном</w:t>
      </w:r>
      <w:r>
        <w:rPr>
          <w:spacing w:val="-4"/>
        </w:rPr>
        <w:t> </w:t>
      </w:r>
      <w:r>
        <w:rPr/>
        <w:t>оквиру</w:t>
      </w:r>
      <w:r>
        <w:rPr>
          <w:spacing w:val="-11"/>
        </w:rPr>
        <w:t> </w:t>
      </w:r>
      <w:r>
        <w:rPr/>
        <w:t>квалификација</w:t>
      </w:r>
      <w:r>
        <w:rPr>
          <w:spacing w:val="-3"/>
        </w:rPr>
        <w:t> </w:t>
      </w:r>
      <w:r>
        <w:rPr/>
        <w:t>Републике</w:t>
      </w:r>
      <w:r>
        <w:rPr>
          <w:spacing w:val="-4"/>
        </w:rPr>
        <w:t> </w:t>
      </w:r>
      <w:r>
        <w:rPr/>
        <w:t>Србије усвојен</w:t>
      </w:r>
      <w:r>
        <w:rPr>
          <w:spacing w:val="-3"/>
        </w:rPr>
        <w:t> </w:t>
      </w:r>
      <w:r>
        <w:rPr/>
        <w:t>је</w:t>
      </w:r>
      <w:r>
        <w:rPr>
          <w:spacing w:val="-4"/>
        </w:rPr>
        <w:t> </w:t>
      </w:r>
      <w:r>
        <w:rPr/>
        <w:t>2018.</w:t>
      </w:r>
      <w:r>
        <w:rPr>
          <w:spacing w:val="-3"/>
        </w:rPr>
        <w:t> </w:t>
      </w:r>
      <w:r>
        <w:rPr/>
        <w:t>године</w:t>
      </w:r>
      <w:r>
        <w:rPr>
          <w:spacing w:val="-4"/>
        </w:rPr>
        <w:t> </w:t>
      </w:r>
      <w:r>
        <w:rPr/>
        <w:t>и</w:t>
      </w:r>
      <w:r>
        <w:rPr>
          <w:spacing w:val="-5"/>
        </w:rPr>
        <w:t> </w:t>
      </w:r>
      <w:r>
        <w:rPr/>
        <w:t>од</w:t>
      </w:r>
      <w:r>
        <w:rPr>
          <w:spacing w:val="-3"/>
        </w:rPr>
        <w:t> </w:t>
      </w:r>
      <w:r>
        <w:rPr/>
        <w:t>тада</w:t>
      </w:r>
      <w:r>
        <w:rPr>
          <w:spacing w:val="-4"/>
        </w:rPr>
        <w:t> </w:t>
      </w:r>
      <w:r>
        <w:rPr/>
        <w:t>су учињени значајни помаци у правцу успостављања и имплементације Националног оквира квалификација (НОКС) који представља један о кључних инструмената којим се уређује област квалификација и њена повезаност са тржиштем рада. Развоју каријерног вођења и саветовања посвећена је значајна пажња током периода имплементације Националне стратегије запошљавања за период 2011-2020. године, а у последњој години примене интензивиране су и активности у правцу успостављања стандарда за пружање услуга каријерног вођења и саветовања. Развој концепта признавања претходног учења је у току, али је изостала његова примена у периоду 2011-2020. године. Овај концепт од изузетне је важности имајући у виду да на евиденцији НСЗ једна трећина свих регистрованих незапослених чине лица без квалификација и да би њихове шансе за проналажење достојанственог запослења биле знатно боље да су им се претходно стечена знања и искуства</w:t>
      </w:r>
      <w:r>
        <w:rPr>
          <w:spacing w:val="-3"/>
        </w:rPr>
        <w:t> </w:t>
      </w:r>
      <w:r>
        <w:rPr/>
        <w:t>верификовала</w:t>
      </w:r>
      <w:r>
        <w:rPr>
          <w:spacing w:val="-3"/>
        </w:rPr>
        <w:t> </w:t>
      </w:r>
      <w:r>
        <w:rPr/>
        <w:t>на</w:t>
      </w:r>
      <w:r>
        <w:rPr>
          <w:spacing w:val="-3"/>
        </w:rPr>
        <w:t> </w:t>
      </w:r>
      <w:r>
        <w:rPr/>
        <w:t>одговарајући</w:t>
      </w:r>
      <w:r>
        <w:rPr>
          <w:spacing w:val="-2"/>
        </w:rPr>
        <w:t> </w:t>
      </w:r>
      <w:r>
        <w:rPr/>
        <w:t>начин,</w:t>
      </w:r>
      <w:r>
        <w:rPr>
          <w:spacing w:val="-5"/>
        </w:rPr>
        <w:t> </w:t>
      </w:r>
      <w:r>
        <w:rPr/>
        <w:t>кроз</w:t>
      </w:r>
      <w:r>
        <w:rPr>
          <w:spacing w:val="-2"/>
        </w:rPr>
        <w:t> </w:t>
      </w:r>
      <w:r>
        <w:rPr/>
        <w:t>процес</w:t>
      </w:r>
      <w:r>
        <w:rPr>
          <w:spacing w:val="-3"/>
        </w:rPr>
        <w:t> </w:t>
      </w:r>
      <w:r>
        <w:rPr/>
        <w:t>признавања</w:t>
      </w:r>
      <w:r>
        <w:rPr>
          <w:spacing w:val="-3"/>
        </w:rPr>
        <w:t> </w:t>
      </w:r>
      <w:r>
        <w:rPr/>
        <w:t>претходног</w:t>
      </w:r>
      <w:r>
        <w:rPr>
          <w:spacing w:val="-1"/>
        </w:rPr>
        <w:t> </w:t>
      </w:r>
      <w:r>
        <w:rPr/>
        <w:t>учења.</w:t>
      </w:r>
    </w:p>
    <w:p>
      <w:pPr>
        <w:pStyle w:val="BodyText"/>
        <w:spacing w:before="121"/>
        <w:ind w:right="716" w:firstLine="719"/>
      </w:pPr>
      <w:r>
        <w:rPr/>
        <w:t>Повећање компетенција кроз стицање додатних знања и вештина путем кратких обука</w:t>
      </w:r>
      <w:r>
        <w:rPr>
          <w:spacing w:val="-7"/>
        </w:rPr>
        <w:t> </w:t>
      </w:r>
      <w:r>
        <w:rPr/>
        <w:t>које</w:t>
      </w:r>
      <w:r>
        <w:rPr>
          <w:spacing w:val="-7"/>
        </w:rPr>
        <w:t> </w:t>
      </w:r>
      <w:r>
        <w:rPr/>
        <w:t>спроводе</w:t>
      </w:r>
      <w:r>
        <w:rPr>
          <w:spacing w:val="-8"/>
        </w:rPr>
        <w:t> </w:t>
      </w:r>
      <w:r>
        <w:rPr/>
        <w:t>јавно</w:t>
      </w:r>
      <w:r>
        <w:rPr>
          <w:spacing w:val="-6"/>
        </w:rPr>
        <w:t> </w:t>
      </w:r>
      <w:r>
        <w:rPr/>
        <w:t>признати</w:t>
      </w:r>
      <w:r>
        <w:rPr>
          <w:spacing w:val="-6"/>
        </w:rPr>
        <w:t> </w:t>
      </w:r>
      <w:r>
        <w:rPr/>
        <w:t>организатори</w:t>
      </w:r>
      <w:r>
        <w:rPr>
          <w:spacing w:val="-6"/>
        </w:rPr>
        <w:t> </w:t>
      </w:r>
      <w:r>
        <w:rPr/>
        <w:t>активности</w:t>
      </w:r>
      <w:r>
        <w:rPr>
          <w:spacing w:val="-6"/>
        </w:rPr>
        <w:t> </w:t>
      </w:r>
      <w:r>
        <w:rPr/>
        <w:t>образовања</w:t>
      </w:r>
      <w:r>
        <w:rPr>
          <w:spacing w:val="-8"/>
        </w:rPr>
        <w:t> </w:t>
      </w:r>
      <w:r>
        <w:rPr/>
        <w:t>одраслих</w:t>
      </w:r>
      <w:r>
        <w:rPr>
          <w:spacing w:val="-6"/>
        </w:rPr>
        <w:t> </w:t>
      </w:r>
      <w:r>
        <w:rPr/>
        <w:t>(ЈПОА) није реализовано у пуном обиму. Иако су услови у погледу програма, кадра, простора, опреме</w:t>
      </w:r>
      <w:r>
        <w:rPr>
          <w:spacing w:val="-2"/>
        </w:rPr>
        <w:t> </w:t>
      </w:r>
      <w:r>
        <w:rPr/>
        <w:t>и</w:t>
      </w:r>
      <w:r>
        <w:rPr>
          <w:spacing w:val="-1"/>
        </w:rPr>
        <w:t> </w:t>
      </w:r>
      <w:r>
        <w:rPr/>
        <w:t>наставних</w:t>
      </w:r>
      <w:r>
        <w:rPr>
          <w:spacing w:val="1"/>
        </w:rPr>
        <w:t> </w:t>
      </w:r>
      <w:r>
        <w:rPr/>
        <w:t>средстава</w:t>
      </w:r>
      <w:r>
        <w:rPr>
          <w:spacing w:val="-2"/>
        </w:rPr>
        <w:t> </w:t>
      </w:r>
      <w:r>
        <w:rPr/>
        <w:t>за</w:t>
      </w:r>
      <w:r>
        <w:rPr>
          <w:spacing w:val="-2"/>
        </w:rPr>
        <w:t> </w:t>
      </w:r>
      <w:r>
        <w:rPr/>
        <w:t>стицање</w:t>
      </w:r>
      <w:r>
        <w:rPr>
          <w:spacing w:val="-2"/>
        </w:rPr>
        <w:t> </w:t>
      </w:r>
      <w:r>
        <w:rPr/>
        <w:t>статуса</w:t>
      </w:r>
      <w:r>
        <w:rPr>
          <w:spacing w:val="-2"/>
        </w:rPr>
        <w:t> </w:t>
      </w:r>
      <w:r>
        <w:rPr/>
        <w:t>ЈПОА</w:t>
      </w:r>
      <w:r>
        <w:rPr>
          <w:spacing w:val="-2"/>
        </w:rPr>
        <w:t> </w:t>
      </w:r>
      <w:r>
        <w:rPr/>
        <w:t>прописани 2015.</w:t>
      </w:r>
      <w:r>
        <w:rPr>
          <w:spacing w:val="-1"/>
        </w:rPr>
        <w:t> </w:t>
      </w:r>
      <w:r>
        <w:rPr/>
        <w:t>године,</w:t>
      </w:r>
      <w:r>
        <w:rPr>
          <w:spacing w:val="10"/>
        </w:rPr>
        <w:t> </w:t>
      </w:r>
      <w:r>
        <w:rPr/>
        <w:t>уочено</w:t>
      </w:r>
      <w:r>
        <w:rPr>
          <w:spacing w:val="-1"/>
        </w:rPr>
        <w:t> </w:t>
      </w:r>
      <w:r>
        <w:rPr>
          <w:spacing w:val="-5"/>
        </w:rPr>
        <w:t>је</w:t>
      </w:r>
    </w:p>
    <w:p>
      <w:pPr>
        <w:pStyle w:val="BodyText"/>
        <w:spacing w:after="0"/>
        <w:sectPr>
          <w:pgSz w:w="12240" w:h="15840"/>
          <w:pgMar w:header="0" w:footer="702" w:top="1360" w:bottom="900" w:left="1080" w:right="720"/>
        </w:sectPr>
      </w:pPr>
    </w:p>
    <w:p>
      <w:pPr>
        <w:pStyle w:val="BodyText"/>
        <w:spacing w:before="72"/>
        <w:ind w:right="716"/>
      </w:pPr>
      <w:r>
        <w:rPr/>
        <w:t>да је број акредитованих ЈПОА и програма још увек недовољан, с обзиром на потребе за обукама за различита занимања које се процењују на основу пријава потребе за запошљавањем, годишње Анкете послодаваца коју спроводи НСЗ и других извора информација о понуди и потражњи на тржишту рада. С друге стране, укључивањем незапослених</w:t>
      </w:r>
      <w:r>
        <w:rPr>
          <w:spacing w:val="-3"/>
        </w:rPr>
        <w:t> </w:t>
      </w:r>
      <w:r>
        <w:rPr/>
        <w:t>лица</w:t>
      </w:r>
      <w:r>
        <w:rPr>
          <w:spacing w:val="-3"/>
        </w:rPr>
        <w:t> </w:t>
      </w:r>
      <w:r>
        <w:rPr/>
        <w:t>у</w:t>
      </w:r>
      <w:r>
        <w:rPr>
          <w:spacing w:val="-7"/>
        </w:rPr>
        <w:t> </w:t>
      </w:r>
      <w:r>
        <w:rPr/>
        <w:t>обуке</w:t>
      </w:r>
      <w:r>
        <w:rPr>
          <w:spacing w:val="-6"/>
        </w:rPr>
        <w:t> </w:t>
      </w:r>
      <w:r>
        <w:rPr/>
        <w:t>код</w:t>
      </w:r>
      <w:r>
        <w:rPr>
          <w:spacing w:val="-5"/>
        </w:rPr>
        <w:t> </w:t>
      </w:r>
      <w:r>
        <w:rPr/>
        <w:t>извођача</w:t>
      </w:r>
      <w:r>
        <w:rPr>
          <w:spacing w:val="-6"/>
        </w:rPr>
        <w:t> </w:t>
      </w:r>
      <w:r>
        <w:rPr/>
        <w:t>обука</w:t>
      </w:r>
      <w:r>
        <w:rPr>
          <w:spacing w:val="-1"/>
        </w:rPr>
        <w:t> </w:t>
      </w:r>
      <w:r>
        <w:rPr/>
        <w:t>који</w:t>
      </w:r>
      <w:r>
        <w:rPr>
          <w:spacing w:val="-3"/>
        </w:rPr>
        <w:t> </w:t>
      </w:r>
      <w:r>
        <w:rPr/>
        <w:t>нису</w:t>
      </w:r>
      <w:r>
        <w:rPr>
          <w:spacing w:val="-7"/>
        </w:rPr>
        <w:t> </w:t>
      </w:r>
      <w:r>
        <w:rPr/>
        <w:t>акредитовани,</w:t>
      </w:r>
      <w:r>
        <w:rPr>
          <w:spacing w:val="-5"/>
        </w:rPr>
        <w:t> </w:t>
      </w:r>
      <w:r>
        <w:rPr/>
        <w:t>изостаје</w:t>
      </w:r>
      <w:r>
        <w:rPr>
          <w:spacing w:val="-6"/>
        </w:rPr>
        <w:t> </w:t>
      </w:r>
      <w:r>
        <w:rPr/>
        <w:t>могућност да полазници обука добију јавну исправу о стеченим компетенцијама.</w:t>
      </w:r>
    </w:p>
    <w:p>
      <w:pPr>
        <w:pStyle w:val="BodyText"/>
        <w:spacing w:before="120"/>
        <w:ind w:right="711" w:firstLine="719"/>
      </w:pPr>
      <w:r>
        <w:rPr/>
        <w:t>На почетку спровођења Националне стратегије запошљавања за период 2011-2020. године Србија није имала успостављену</w:t>
      </w:r>
      <w:r>
        <w:rPr>
          <w:spacing w:val="-1"/>
        </w:rPr>
        <w:t> </w:t>
      </w:r>
      <w:r>
        <w:rPr/>
        <w:t>Националну</w:t>
      </w:r>
      <w:r>
        <w:rPr>
          <w:spacing w:val="-2"/>
        </w:rPr>
        <w:t> </w:t>
      </w:r>
      <w:r>
        <w:rPr/>
        <w:t>стандардну</w:t>
      </w:r>
      <w:r>
        <w:rPr>
          <w:spacing w:val="-2"/>
        </w:rPr>
        <w:t> </w:t>
      </w:r>
      <w:r>
        <w:rPr/>
        <w:t>класификацију</w:t>
      </w:r>
      <w:r>
        <w:rPr>
          <w:spacing w:val="-4"/>
        </w:rPr>
        <w:t> </w:t>
      </w:r>
      <w:r>
        <w:rPr/>
        <w:t>занимања усклађену са Међународном стандардном класификацијом занимања ISCO–08, односно у употреби је била класификација занимања која није била усклађена са међународним стандардом,</w:t>
      </w:r>
      <w:r>
        <w:rPr>
          <w:spacing w:val="-9"/>
        </w:rPr>
        <w:t> </w:t>
      </w:r>
      <w:r>
        <w:rPr/>
        <w:t>нити</w:t>
      </w:r>
      <w:r>
        <w:rPr>
          <w:spacing w:val="-7"/>
        </w:rPr>
        <w:t> </w:t>
      </w:r>
      <w:r>
        <w:rPr/>
        <w:t>је</w:t>
      </w:r>
      <w:r>
        <w:rPr>
          <w:spacing w:val="-8"/>
        </w:rPr>
        <w:t> </w:t>
      </w:r>
      <w:r>
        <w:rPr/>
        <w:t>обухватала</w:t>
      </w:r>
      <w:r>
        <w:rPr>
          <w:spacing w:val="-9"/>
        </w:rPr>
        <w:t> </w:t>
      </w:r>
      <w:r>
        <w:rPr/>
        <w:t>сва</w:t>
      </w:r>
      <w:r>
        <w:rPr>
          <w:spacing w:val="-10"/>
        </w:rPr>
        <w:t> </w:t>
      </w:r>
      <w:r>
        <w:rPr/>
        <w:t>постојећа</w:t>
      </w:r>
      <w:r>
        <w:rPr>
          <w:spacing w:val="-9"/>
        </w:rPr>
        <w:t> </w:t>
      </w:r>
      <w:r>
        <w:rPr/>
        <w:t>занимања</w:t>
      </w:r>
      <w:r>
        <w:rPr>
          <w:spacing w:val="-9"/>
        </w:rPr>
        <w:t> </w:t>
      </w:r>
      <w:r>
        <w:rPr/>
        <w:t>на</w:t>
      </w:r>
      <w:r>
        <w:rPr>
          <w:spacing w:val="-7"/>
        </w:rPr>
        <w:t> </w:t>
      </w:r>
      <w:r>
        <w:rPr/>
        <w:t>националном</w:t>
      </w:r>
      <w:r>
        <w:rPr>
          <w:spacing w:val="-8"/>
        </w:rPr>
        <w:t> </w:t>
      </w:r>
      <w:r>
        <w:rPr/>
        <w:t>тржишту</w:t>
      </w:r>
      <w:r>
        <w:rPr>
          <w:spacing w:val="-15"/>
        </w:rPr>
        <w:t> </w:t>
      </w:r>
      <w:r>
        <w:rPr/>
        <w:t>рада,</w:t>
      </w:r>
      <w:r>
        <w:rPr>
          <w:spacing w:val="-7"/>
        </w:rPr>
        <w:t> </w:t>
      </w:r>
      <w:r>
        <w:rPr/>
        <w:t>док су</w:t>
      </w:r>
      <w:r>
        <w:rPr>
          <w:spacing w:val="-14"/>
        </w:rPr>
        <w:t> </w:t>
      </w:r>
      <w:r>
        <w:rPr/>
        <w:t>називи</w:t>
      </w:r>
      <w:r>
        <w:rPr>
          <w:spacing w:val="-10"/>
        </w:rPr>
        <w:t> </w:t>
      </w:r>
      <w:r>
        <w:rPr/>
        <w:t>појединих</w:t>
      </w:r>
      <w:r>
        <w:rPr>
          <w:spacing w:val="-9"/>
        </w:rPr>
        <w:t> </w:t>
      </w:r>
      <w:r>
        <w:rPr/>
        <w:t>занимања</w:t>
      </w:r>
      <w:r>
        <w:rPr>
          <w:spacing w:val="-12"/>
        </w:rPr>
        <w:t> </w:t>
      </w:r>
      <w:r>
        <w:rPr/>
        <w:t>били</w:t>
      </w:r>
      <w:r>
        <w:rPr>
          <w:spacing w:val="-10"/>
        </w:rPr>
        <w:t> </w:t>
      </w:r>
      <w:r>
        <w:rPr/>
        <w:t>застарели</w:t>
      </w:r>
      <w:r>
        <w:rPr>
          <w:spacing w:val="-10"/>
        </w:rPr>
        <w:t> </w:t>
      </w:r>
      <w:r>
        <w:rPr/>
        <w:t>и</w:t>
      </w:r>
      <w:r>
        <w:rPr>
          <w:spacing w:val="-10"/>
        </w:rPr>
        <w:t> </w:t>
      </w:r>
      <w:r>
        <w:rPr/>
        <w:t>неусаглашени</w:t>
      </w:r>
      <w:r>
        <w:rPr>
          <w:spacing w:val="-10"/>
        </w:rPr>
        <w:t> </w:t>
      </w:r>
      <w:r>
        <w:rPr/>
        <w:t>са</w:t>
      </w:r>
      <w:r>
        <w:rPr>
          <w:spacing w:val="-12"/>
        </w:rPr>
        <w:t> </w:t>
      </w:r>
      <w:r>
        <w:rPr/>
        <w:t>технолошким</w:t>
      </w:r>
      <w:r>
        <w:rPr>
          <w:spacing w:val="-11"/>
        </w:rPr>
        <w:t> </w:t>
      </w:r>
      <w:r>
        <w:rPr/>
        <w:t>променама. Ослањајући</w:t>
      </w:r>
      <w:r>
        <w:rPr>
          <w:spacing w:val="-7"/>
        </w:rPr>
        <w:t> </w:t>
      </w:r>
      <w:r>
        <w:rPr/>
        <w:t>се</w:t>
      </w:r>
      <w:r>
        <w:rPr>
          <w:spacing w:val="-9"/>
        </w:rPr>
        <w:t> </w:t>
      </w:r>
      <w:r>
        <w:rPr/>
        <w:t>на</w:t>
      </w:r>
      <w:r>
        <w:rPr>
          <w:spacing w:val="-9"/>
        </w:rPr>
        <w:t> </w:t>
      </w:r>
      <w:r>
        <w:rPr/>
        <w:t>претходне</w:t>
      </w:r>
      <w:r>
        <w:rPr>
          <w:spacing w:val="-9"/>
        </w:rPr>
        <w:t> </w:t>
      </w:r>
      <w:r>
        <w:rPr/>
        <w:t>пројекте</w:t>
      </w:r>
      <w:r>
        <w:rPr>
          <w:spacing w:val="-9"/>
        </w:rPr>
        <w:t> </w:t>
      </w:r>
      <w:r>
        <w:rPr/>
        <w:t>и</w:t>
      </w:r>
      <w:r>
        <w:rPr>
          <w:spacing w:val="-7"/>
        </w:rPr>
        <w:t> </w:t>
      </w:r>
      <w:r>
        <w:rPr/>
        <w:t>пратећи</w:t>
      </w:r>
      <w:r>
        <w:rPr>
          <w:spacing w:val="-10"/>
        </w:rPr>
        <w:t> </w:t>
      </w:r>
      <w:r>
        <w:rPr/>
        <w:t>потребе</w:t>
      </w:r>
      <w:r>
        <w:rPr>
          <w:spacing w:val="-8"/>
        </w:rPr>
        <w:t> </w:t>
      </w:r>
      <w:r>
        <w:rPr/>
        <w:t>привреде</w:t>
      </w:r>
      <w:r>
        <w:rPr>
          <w:spacing w:val="-9"/>
        </w:rPr>
        <w:t> </w:t>
      </w:r>
      <w:r>
        <w:rPr/>
        <w:t>и</w:t>
      </w:r>
      <w:r>
        <w:rPr>
          <w:spacing w:val="-7"/>
        </w:rPr>
        <w:t> </w:t>
      </w:r>
      <w:r>
        <w:rPr/>
        <w:t>тржишта</w:t>
      </w:r>
      <w:r>
        <w:rPr>
          <w:spacing w:val="-8"/>
        </w:rPr>
        <w:t> </w:t>
      </w:r>
      <w:r>
        <w:rPr/>
        <w:t>рада</w:t>
      </w:r>
      <w:r>
        <w:rPr>
          <w:spacing w:val="-8"/>
        </w:rPr>
        <w:t> </w:t>
      </w:r>
      <w:r>
        <w:rPr/>
        <w:t>израђена је</w:t>
      </w:r>
      <w:r>
        <w:rPr>
          <w:spacing w:val="-11"/>
        </w:rPr>
        <w:t> </w:t>
      </w:r>
      <w:r>
        <w:rPr/>
        <w:t>и</w:t>
      </w:r>
      <w:r>
        <w:rPr>
          <w:spacing w:val="-7"/>
        </w:rPr>
        <w:t> </w:t>
      </w:r>
      <w:r>
        <w:rPr/>
        <w:t>усвојена</w:t>
      </w:r>
      <w:r>
        <w:rPr>
          <w:spacing w:val="-11"/>
        </w:rPr>
        <w:t> </w:t>
      </w:r>
      <w:r>
        <w:rPr/>
        <w:t>нова</w:t>
      </w:r>
      <w:r>
        <w:rPr>
          <w:spacing w:val="-11"/>
        </w:rPr>
        <w:t> </w:t>
      </w:r>
      <w:r>
        <w:rPr/>
        <w:t>листа</w:t>
      </w:r>
      <w:r>
        <w:rPr>
          <w:spacing w:val="-10"/>
        </w:rPr>
        <w:t> </w:t>
      </w:r>
      <w:r>
        <w:rPr/>
        <w:t>занимања</w:t>
      </w:r>
      <w:r>
        <w:rPr>
          <w:spacing w:val="-11"/>
        </w:rPr>
        <w:t> </w:t>
      </w:r>
      <w:r>
        <w:rPr/>
        <w:t>(шифарник</w:t>
      </w:r>
      <w:r>
        <w:rPr>
          <w:spacing w:val="-11"/>
        </w:rPr>
        <w:t> </w:t>
      </w:r>
      <w:r>
        <w:rPr/>
        <w:t>занимања)</w:t>
      </w:r>
      <w:r>
        <w:rPr>
          <w:spacing w:val="-5"/>
        </w:rPr>
        <w:t> </w:t>
      </w:r>
      <w:r>
        <w:rPr/>
        <w:t>усклађена</w:t>
      </w:r>
      <w:r>
        <w:rPr>
          <w:spacing w:val="-11"/>
        </w:rPr>
        <w:t> </w:t>
      </w:r>
      <w:r>
        <w:rPr/>
        <w:t>са</w:t>
      </w:r>
      <w:r>
        <w:rPr>
          <w:spacing w:val="-9"/>
        </w:rPr>
        <w:t> </w:t>
      </w:r>
      <w:r>
        <w:rPr/>
        <w:t>стандардом</w:t>
      </w:r>
      <w:r>
        <w:rPr>
          <w:spacing w:val="-3"/>
        </w:rPr>
        <w:t> </w:t>
      </w:r>
      <w:r>
        <w:rPr/>
        <w:t>ISCO–08 која је употреби од почетка 2019. године али је важан предуслов у даљем повезивању и праћењу</w:t>
      </w:r>
      <w:r>
        <w:rPr>
          <w:spacing w:val="-10"/>
        </w:rPr>
        <w:t> </w:t>
      </w:r>
      <w:r>
        <w:rPr/>
        <w:t>занимања</w:t>
      </w:r>
      <w:r>
        <w:rPr>
          <w:spacing w:val="-4"/>
        </w:rPr>
        <w:t> </w:t>
      </w:r>
      <w:r>
        <w:rPr/>
        <w:t>на</w:t>
      </w:r>
      <w:r>
        <w:rPr>
          <w:spacing w:val="-4"/>
        </w:rPr>
        <w:t> </w:t>
      </w:r>
      <w:r>
        <w:rPr/>
        <w:t>тржишту</w:t>
      </w:r>
      <w:r>
        <w:rPr>
          <w:spacing w:val="-10"/>
        </w:rPr>
        <w:t> </w:t>
      </w:r>
      <w:r>
        <w:rPr/>
        <w:t>рада</w:t>
      </w:r>
      <w:r>
        <w:rPr>
          <w:spacing w:val="-4"/>
        </w:rPr>
        <w:t> </w:t>
      </w:r>
      <w:r>
        <w:rPr/>
        <w:t>и</w:t>
      </w:r>
      <w:r>
        <w:rPr>
          <w:spacing w:val="-3"/>
        </w:rPr>
        <w:t> </w:t>
      </w:r>
      <w:r>
        <w:rPr/>
        <w:t>квалификација</w:t>
      </w:r>
      <w:r>
        <w:rPr>
          <w:spacing w:val="-2"/>
        </w:rPr>
        <w:t> </w:t>
      </w:r>
      <w:r>
        <w:rPr/>
        <w:t>усвајање</w:t>
      </w:r>
      <w:r>
        <w:rPr>
          <w:spacing w:val="-4"/>
        </w:rPr>
        <w:t> </w:t>
      </w:r>
      <w:r>
        <w:rPr/>
        <w:t>листе</w:t>
      </w:r>
      <w:r>
        <w:rPr>
          <w:spacing w:val="-3"/>
        </w:rPr>
        <w:t> </w:t>
      </w:r>
      <w:r>
        <w:rPr/>
        <w:t>квалификација</w:t>
      </w:r>
      <w:r>
        <w:rPr>
          <w:spacing w:val="-3"/>
        </w:rPr>
        <w:t> </w:t>
      </w:r>
      <w:r>
        <w:rPr/>
        <w:t>која</w:t>
      </w:r>
      <w:r>
        <w:rPr>
          <w:spacing w:val="-3"/>
        </w:rPr>
        <w:t> </w:t>
      </w:r>
      <w:r>
        <w:rPr/>
        <w:t>је у надлежности Министарства просвете, науке и технолошког развоја, а која још увек није формално усвојена.</w:t>
      </w:r>
    </w:p>
    <w:p>
      <w:pPr>
        <w:pStyle w:val="BodyText"/>
        <w:spacing w:before="121"/>
        <w:ind w:right="713" w:firstLine="719"/>
      </w:pPr>
      <w:r>
        <w:rPr/>
        <w:t>У периоду спровођења Националне стратегије запошљавања за период 2011-2020. године</w:t>
      </w:r>
      <w:r>
        <w:rPr>
          <w:spacing w:val="-14"/>
        </w:rPr>
        <w:t> </w:t>
      </w:r>
      <w:r>
        <w:rPr/>
        <w:t>постигнут</w:t>
      </w:r>
      <w:r>
        <w:rPr>
          <w:spacing w:val="-11"/>
        </w:rPr>
        <w:t> </w:t>
      </w:r>
      <w:r>
        <w:rPr/>
        <w:t>је</w:t>
      </w:r>
      <w:r>
        <w:rPr>
          <w:spacing w:val="-12"/>
        </w:rPr>
        <w:t> </w:t>
      </w:r>
      <w:r>
        <w:rPr/>
        <w:t>одређен,</w:t>
      </w:r>
      <w:r>
        <w:rPr>
          <w:spacing w:val="-12"/>
        </w:rPr>
        <w:t> </w:t>
      </w:r>
      <w:r>
        <w:rPr/>
        <w:t>мада</w:t>
      </w:r>
      <w:r>
        <w:rPr>
          <w:spacing w:val="-12"/>
        </w:rPr>
        <w:t> </w:t>
      </w:r>
      <w:r>
        <w:rPr/>
        <w:t>неједнак,</w:t>
      </w:r>
      <w:r>
        <w:rPr>
          <w:spacing w:val="-12"/>
        </w:rPr>
        <w:t> </w:t>
      </w:r>
      <w:r>
        <w:rPr/>
        <w:t>прогрес</w:t>
      </w:r>
      <w:r>
        <w:rPr>
          <w:spacing w:val="-10"/>
        </w:rPr>
        <w:t> </w:t>
      </w:r>
      <w:r>
        <w:rPr/>
        <w:t>у</w:t>
      </w:r>
      <w:r>
        <w:rPr>
          <w:spacing w:val="-12"/>
        </w:rPr>
        <w:t> </w:t>
      </w:r>
      <w:r>
        <w:rPr/>
        <w:t>усклађивању</w:t>
      </w:r>
      <w:r>
        <w:rPr>
          <w:spacing w:val="-15"/>
        </w:rPr>
        <w:t> </w:t>
      </w:r>
      <w:r>
        <w:rPr/>
        <w:t>политике</w:t>
      </w:r>
      <w:r>
        <w:rPr>
          <w:spacing w:val="-12"/>
        </w:rPr>
        <w:t> </w:t>
      </w:r>
      <w:r>
        <w:rPr/>
        <w:t>запошљавања и институција тржишта рада са тековинама ЕУ.</w:t>
      </w:r>
    </w:p>
    <w:p>
      <w:pPr>
        <w:pStyle w:val="BodyText"/>
        <w:spacing w:before="121"/>
        <w:ind w:right="721" w:firstLine="719"/>
      </w:pPr>
      <w:r>
        <w:rPr/>
        <w:t>Усвојен</w:t>
      </w:r>
      <w:r>
        <w:rPr>
          <w:spacing w:val="-6"/>
        </w:rPr>
        <w:t> </w:t>
      </w:r>
      <w:r>
        <w:rPr/>
        <w:t>је</w:t>
      </w:r>
      <w:r>
        <w:rPr>
          <w:spacing w:val="-7"/>
        </w:rPr>
        <w:t> </w:t>
      </w:r>
      <w:r>
        <w:rPr/>
        <w:t>нови</w:t>
      </w:r>
      <w:r>
        <w:rPr>
          <w:spacing w:val="-8"/>
        </w:rPr>
        <w:t> </w:t>
      </w:r>
      <w:r>
        <w:rPr/>
        <w:t>Закон</w:t>
      </w:r>
      <w:r>
        <w:rPr>
          <w:spacing w:val="-7"/>
        </w:rPr>
        <w:t> </w:t>
      </w:r>
      <w:r>
        <w:rPr/>
        <w:t>о</w:t>
      </w:r>
      <w:r>
        <w:rPr>
          <w:spacing w:val="-8"/>
        </w:rPr>
        <w:t> </w:t>
      </w:r>
      <w:r>
        <w:rPr/>
        <w:t>запошљавању</w:t>
      </w:r>
      <w:r>
        <w:rPr>
          <w:spacing w:val="-11"/>
        </w:rPr>
        <w:t> </w:t>
      </w:r>
      <w:r>
        <w:rPr/>
        <w:t>странаца</w:t>
      </w:r>
      <w:r>
        <w:rPr>
          <w:spacing w:val="-6"/>
        </w:rPr>
        <w:t> </w:t>
      </w:r>
      <w:r>
        <w:rPr/>
        <w:t>којим</w:t>
      </w:r>
      <w:r>
        <w:rPr>
          <w:spacing w:val="-7"/>
        </w:rPr>
        <w:t> </w:t>
      </w:r>
      <w:r>
        <w:rPr/>
        <w:t>су</w:t>
      </w:r>
      <w:r>
        <w:rPr>
          <w:spacing w:val="-9"/>
        </w:rPr>
        <w:t> </w:t>
      </w:r>
      <w:r>
        <w:rPr/>
        <w:t>уређени</w:t>
      </w:r>
      <w:r>
        <w:rPr>
          <w:spacing w:val="-4"/>
        </w:rPr>
        <w:t> </w:t>
      </w:r>
      <w:r>
        <w:rPr/>
        <w:t>услови</w:t>
      </w:r>
      <w:r>
        <w:rPr>
          <w:spacing w:val="-6"/>
        </w:rPr>
        <w:t> </w:t>
      </w:r>
      <w:r>
        <w:rPr/>
        <w:t>и</w:t>
      </w:r>
      <w:r>
        <w:rPr>
          <w:spacing w:val="-7"/>
        </w:rPr>
        <w:t> </w:t>
      </w:r>
      <w:r>
        <w:rPr/>
        <w:t>поступци за запошљавање странaца у Републици Србији. Усвојен је Закон о агенцијском запошљавању, што је била и обавеза Републике Србије која је претходно ратификовала конвенцију Међународне организације рада број 181 о приватним агенцијама за запошљавање,</w:t>
      </w:r>
      <w:r>
        <w:rPr>
          <w:spacing w:val="-7"/>
        </w:rPr>
        <w:t> </w:t>
      </w:r>
      <w:r>
        <w:rPr/>
        <w:t>а</w:t>
      </w:r>
      <w:r>
        <w:rPr>
          <w:spacing w:val="-11"/>
        </w:rPr>
        <w:t> </w:t>
      </w:r>
      <w:r>
        <w:rPr/>
        <w:t>којим</w:t>
      </w:r>
      <w:r>
        <w:rPr>
          <w:spacing w:val="-10"/>
        </w:rPr>
        <w:t> </w:t>
      </w:r>
      <w:r>
        <w:rPr/>
        <w:t>се</w:t>
      </w:r>
      <w:r>
        <w:rPr>
          <w:spacing w:val="-7"/>
        </w:rPr>
        <w:t> </w:t>
      </w:r>
      <w:r>
        <w:rPr/>
        <w:t>уређује</w:t>
      </w:r>
      <w:r>
        <w:rPr>
          <w:spacing w:val="-11"/>
        </w:rPr>
        <w:t> </w:t>
      </w:r>
      <w:r>
        <w:rPr/>
        <w:t>заштита</w:t>
      </w:r>
      <w:r>
        <w:rPr>
          <w:spacing w:val="-10"/>
        </w:rPr>
        <w:t> </w:t>
      </w:r>
      <w:r>
        <w:rPr/>
        <w:t>права</w:t>
      </w:r>
      <w:r>
        <w:rPr>
          <w:spacing w:val="-9"/>
        </w:rPr>
        <w:t> </w:t>
      </w:r>
      <w:r>
        <w:rPr/>
        <w:t>запослених</w:t>
      </w:r>
      <w:r>
        <w:rPr>
          <w:spacing w:val="-8"/>
        </w:rPr>
        <w:t> </w:t>
      </w:r>
      <w:r>
        <w:rPr/>
        <w:t>који</w:t>
      </w:r>
      <w:r>
        <w:rPr>
          <w:spacing w:val="-11"/>
        </w:rPr>
        <w:t> </w:t>
      </w:r>
      <w:r>
        <w:rPr/>
        <w:t>закључују</w:t>
      </w:r>
      <w:r>
        <w:rPr>
          <w:spacing w:val="-10"/>
        </w:rPr>
        <w:t> </w:t>
      </w:r>
      <w:r>
        <w:rPr/>
        <w:t>уговор</w:t>
      </w:r>
      <w:r>
        <w:rPr>
          <w:spacing w:val="-10"/>
        </w:rPr>
        <w:t> </w:t>
      </w:r>
      <w:r>
        <w:rPr/>
        <w:t>о</w:t>
      </w:r>
      <w:r>
        <w:rPr>
          <w:spacing w:val="-10"/>
        </w:rPr>
        <w:t> </w:t>
      </w:r>
      <w:r>
        <w:rPr/>
        <w:t>раду</w:t>
      </w:r>
      <w:r>
        <w:rPr>
          <w:spacing w:val="-14"/>
        </w:rPr>
        <w:t> </w:t>
      </w:r>
      <w:r>
        <w:rPr/>
        <w:t>са агенцијом за привремено запошљавање ради уступања на привремени рад послодавцу </w:t>
      </w:r>
      <w:r>
        <w:rPr>
          <w:spacing w:val="-2"/>
        </w:rPr>
        <w:t>кориснику.</w:t>
      </w:r>
    </w:p>
    <w:p>
      <w:pPr>
        <w:pStyle w:val="BodyText"/>
        <w:spacing w:before="120"/>
        <w:ind w:right="716" w:firstLine="719"/>
      </w:pPr>
      <w:r>
        <w:rPr/>
        <w:t>Усвојен</w:t>
      </w:r>
      <w:r>
        <w:rPr>
          <w:spacing w:val="-9"/>
        </w:rPr>
        <w:t> </w:t>
      </w:r>
      <w:r>
        <w:rPr/>
        <w:t>је</w:t>
      </w:r>
      <w:r>
        <w:rPr>
          <w:spacing w:val="-9"/>
        </w:rPr>
        <w:t> </w:t>
      </w:r>
      <w:r>
        <w:rPr/>
        <w:t>Закон</w:t>
      </w:r>
      <w:r>
        <w:rPr>
          <w:spacing w:val="-8"/>
        </w:rPr>
        <w:t> </w:t>
      </w:r>
      <w:r>
        <w:rPr/>
        <w:t>о</w:t>
      </w:r>
      <w:r>
        <w:rPr>
          <w:spacing w:val="-12"/>
        </w:rPr>
        <w:t> </w:t>
      </w:r>
      <w:r>
        <w:rPr/>
        <w:t>поједностављеном</w:t>
      </w:r>
      <w:r>
        <w:rPr>
          <w:spacing w:val="-10"/>
        </w:rPr>
        <w:t> </w:t>
      </w:r>
      <w:r>
        <w:rPr/>
        <w:t>радном</w:t>
      </w:r>
      <w:r>
        <w:rPr>
          <w:spacing w:val="-10"/>
        </w:rPr>
        <w:t> </w:t>
      </w:r>
      <w:r>
        <w:rPr/>
        <w:t>ангажовању</w:t>
      </w:r>
      <w:r>
        <w:rPr>
          <w:spacing w:val="-14"/>
        </w:rPr>
        <w:t> </w:t>
      </w:r>
      <w:r>
        <w:rPr/>
        <w:t>на</w:t>
      </w:r>
      <w:r>
        <w:rPr>
          <w:spacing w:val="-10"/>
        </w:rPr>
        <w:t> </w:t>
      </w:r>
      <w:r>
        <w:rPr/>
        <w:t>сезонским</w:t>
      </w:r>
      <w:r>
        <w:rPr>
          <w:spacing w:val="-10"/>
        </w:rPr>
        <w:t> </w:t>
      </w:r>
      <w:r>
        <w:rPr/>
        <w:t>пословима</w:t>
      </w:r>
      <w:r>
        <w:rPr>
          <w:spacing w:val="-8"/>
        </w:rPr>
        <w:t> </w:t>
      </w:r>
      <w:r>
        <w:rPr/>
        <w:t>у одређеним делатностима, којим се регулишу услови рада сезонских радника (у сектору пољопривреде, шумарства и рибарства), право на накнаду за рад, права из осигурања и друга питања од значаја за остваривање права сезонских радника која из ове врсте ангажовања произилазе.</w:t>
      </w:r>
    </w:p>
    <w:p>
      <w:pPr>
        <w:pStyle w:val="BodyText"/>
        <w:spacing w:before="120"/>
        <w:ind w:right="720" w:firstLine="719"/>
      </w:pPr>
      <w:r>
        <w:rPr/>
        <w:t>Дугорочније ефекте последња два поменута закона, пошто је њихова примена на почетку,</w:t>
      </w:r>
      <w:r>
        <w:rPr>
          <w:spacing w:val="-8"/>
        </w:rPr>
        <w:t> </w:t>
      </w:r>
      <w:r>
        <w:rPr/>
        <w:t>тешко</w:t>
      </w:r>
      <w:r>
        <w:rPr>
          <w:spacing w:val="-8"/>
        </w:rPr>
        <w:t> </w:t>
      </w:r>
      <w:r>
        <w:rPr/>
        <w:t>је</w:t>
      </w:r>
      <w:r>
        <w:rPr>
          <w:spacing w:val="-9"/>
        </w:rPr>
        <w:t> </w:t>
      </w:r>
      <w:r>
        <w:rPr/>
        <w:t>сагледати</w:t>
      </w:r>
      <w:r>
        <w:rPr>
          <w:spacing w:val="-4"/>
        </w:rPr>
        <w:t> </w:t>
      </w:r>
      <w:r>
        <w:rPr/>
        <w:t>у</w:t>
      </w:r>
      <w:r>
        <w:rPr>
          <w:spacing w:val="-15"/>
        </w:rPr>
        <w:t> </w:t>
      </w:r>
      <w:r>
        <w:rPr/>
        <w:t>овом</w:t>
      </w:r>
      <w:r>
        <w:rPr>
          <w:spacing w:val="-9"/>
        </w:rPr>
        <w:t> </w:t>
      </w:r>
      <w:r>
        <w:rPr/>
        <w:t>тренутку,</w:t>
      </w:r>
      <w:r>
        <w:rPr>
          <w:spacing w:val="-8"/>
        </w:rPr>
        <w:t> </w:t>
      </w:r>
      <w:r>
        <w:rPr/>
        <w:t>међутим,</w:t>
      </w:r>
      <w:r>
        <w:rPr>
          <w:spacing w:val="-8"/>
        </w:rPr>
        <w:t> </w:t>
      </w:r>
      <w:r>
        <w:rPr/>
        <w:t>сигурно</w:t>
      </w:r>
      <w:r>
        <w:rPr>
          <w:spacing w:val="-8"/>
        </w:rPr>
        <w:t> </w:t>
      </w:r>
      <w:r>
        <w:rPr/>
        <w:t>је</w:t>
      </w:r>
      <w:r>
        <w:rPr>
          <w:spacing w:val="-9"/>
        </w:rPr>
        <w:t> </w:t>
      </w:r>
      <w:r>
        <w:rPr/>
        <w:t>да</w:t>
      </w:r>
      <w:r>
        <w:rPr>
          <w:spacing w:val="-9"/>
        </w:rPr>
        <w:t> </w:t>
      </w:r>
      <w:r>
        <w:rPr/>
        <w:t>ће</w:t>
      </w:r>
      <w:r>
        <w:rPr>
          <w:spacing w:val="-7"/>
        </w:rPr>
        <w:t> </w:t>
      </w:r>
      <w:r>
        <w:rPr/>
        <w:t>утицати</w:t>
      </w:r>
      <w:r>
        <w:rPr>
          <w:spacing w:val="-7"/>
        </w:rPr>
        <w:t> </w:t>
      </w:r>
      <w:r>
        <w:rPr/>
        <w:t>на</w:t>
      </w:r>
      <w:r>
        <w:rPr>
          <w:spacing w:val="-7"/>
        </w:rPr>
        <w:t> </w:t>
      </w:r>
      <w:r>
        <w:rPr/>
        <w:t>увођење запослености у легалне токове али и повећање укупне запослености, барем у месецима у којима постоји потреба за сезонским радницима.</w:t>
      </w:r>
    </w:p>
    <w:p>
      <w:pPr>
        <w:pStyle w:val="BodyText"/>
        <w:spacing w:before="121"/>
        <w:ind w:right="718" w:firstLine="719"/>
      </w:pPr>
      <w:r>
        <w:rPr/>
        <w:t>До</w:t>
      </w:r>
      <w:r>
        <w:rPr>
          <w:spacing w:val="-9"/>
        </w:rPr>
        <w:t> </w:t>
      </w:r>
      <w:r>
        <w:rPr/>
        <w:t>усвајања</w:t>
      </w:r>
      <w:r>
        <w:rPr>
          <w:spacing w:val="-12"/>
        </w:rPr>
        <w:t> </w:t>
      </w:r>
      <w:r>
        <w:rPr/>
        <w:t>прописа</w:t>
      </w:r>
      <w:r>
        <w:rPr>
          <w:spacing w:val="-7"/>
        </w:rPr>
        <w:t> </w:t>
      </w:r>
      <w:r>
        <w:rPr/>
        <w:t>у</w:t>
      </w:r>
      <w:r>
        <w:rPr>
          <w:spacing w:val="-13"/>
        </w:rPr>
        <w:t> </w:t>
      </w:r>
      <w:r>
        <w:rPr/>
        <w:t>области</w:t>
      </w:r>
      <w:r>
        <w:rPr>
          <w:spacing w:val="-9"/>
        </w:rPr>
        <w:t> </w:t>
      </w:r>
      <w:r>
        <w:rPr/>
        <w:t>социјалног</w:t>
      </w:r>
      <w:r>
        <w:rPr>
          <w:spacing w:val="-11"/>
        </w:rPr>
        <w:t> </w:t>
      </w:r>
      <w:r>
        <w:rPr/>
        <w:t>предузетништва</w:t>
      </w:r>
      <w:r>
        <w:rPr>
          <w:spacing w:val="-11"/>
        </w:rPr>
        <w:t> </w:t>
      </w:r>
      <w:r>
        <w:rPr/>
        <w:t>није</w:t>
      </w:r>
      <w:r>
        <w:rPr>
          <w:spacing w:val="-11"/>
        </w:rPr>
        <w:t> </w:t>
      </w:r>
      <w:r>
        <w:rPr/>
        <w:t>дошло</w:t>
      </w:r>
      <w:r>
        <w:rPr>
          <w:spacing w:val="-11"/>
        </w:rPr>
        <w:t> </w:t>
      </w:r>
      <w:r>
        <w:rPr/>
        <w:t>иако</w:t>
      </w:r>
      <w:r>
        <w:rPr>
          <w:spacing w:val="-11"/>
        </w:rPr>
        <w:t> </w:t>
      </w:r>
      <w:r>
        <w:rPr/>
        <w:t>се</w:t>
      </w:r>
      <w:r>
        <w:rPr>
          <w:spacing w:val="-12"/>
        </w:rPr>
        <w:t> </w:t>
      </w:r>
      <w:r>
        <w:rPr/>
        <w:t>више пута радило на његовој изради, па тај задатак остаје као изазов за наредни период.</w:t>
      </w:r>
    </w:p>
    <w:p>
      <w:pPr>
        <w:pStyle w:val="BodyText"/>
        <w:spacing w:before="120"/>
        <w:ind w:right="717" w:firstLine="719"/>
      </w:pPr>
      <w:r>
        <w:rPr/>
        <w:t>С обзиром на проток времена од усвајања Закона о запошљавању и осигурању за случај незапослености, као и Закона о професионалној рехабилитацији и запошљавању особа</w:t>
      </w:r>
      <w:r>
        <w:rPr>
          <w:spacing w:val="-9"/>
        </w:rPr>
        <w:t> </w:t>
      </w:r>
      <w:r>
        <w:rPr/>
        <w:t>са</w:t>
      </w:r>
      <w:r>
        <w:rPr>
          <w:spacing w:val="-9"/>
        </w:rPr>
        <w:t> </w:t>
      </w:r>
      <w:r>
        <w:rPr/>
        <w:t>инвалидитетом,</w:t>
      </w:r>
      <w:r>
        <w:rPr>
          <w:spacing w:val="-9"/>
        </w:rPr>
        <w:t> </w:t>
      </w:r>
      <w:r>
        <w:rPr/>
        <w:t>дубинска</w:t>
      </w:r>
      <w:r>
        <w:rPr>
          <w:spacing w:val="-9"/>
        </w:rPr>
        <w:t> </w:t>
      </w:r>
      <w:r>
        <w:rPr/>
        <w:t>анализа</w:t>
      </w:r>
      <w:r>
        <w:rPr>
          <w:spacing w:val="-9"/>
        </w:rPr>
        <w:t> </w:t>
      </w:r>
      <w:r>
        <w:rPr/>
        <w:t>оцене</w:t>
      </w:r>
      <w:r>
        <w:rPr>
          <w:spacing w:val="-9"/>
        </w:rPr>
        <w:t> </w:t>
      </w:r>
      <w:r>
        <w:rPr/>
        <w:t>спровођења</w:t>
      </w:r>
      <w:r>
        <w:rPr>
          <w:spacing w:val="-9"/>
        </w:rPr>
        <w:t> </w:t>
      </w:r>
      <w:r>
        <w:rPr/>
        <w:t>прописа</w:t>
      </w:r>
      <w:r>
        <w:rPr>
          <w:spacing w:val="-9"/>
        </w:rPr>
        <w:t> </w:t>
      </w:r>
      <w:r>
        <w:rPr/>
        <w:t>и</w:t>
      </w:r>
      <w:r>
        <w:rPr>
          <w:spacing w:val="-7"/>
        </w:rPr>
        <w:t> </w:t>
      </w:r>
      <w:r>
        <w:rPr/>
        <w:t>ефеката</w:t>
      </w:r>
      <w:r>
        <w:rPr>
          <w:spacing w:val="-9"/>
        </w:rPr>
        <w:t> </w:t>
      </w:r>
      <w:r>
        <w:rPr/>
        <w:t>може</w:t>
      </w:r>
      <w:r>
        <w:rPr>
          <w:spacing w:val="-9"/>
        </w:rPr>
        <w:t> </w:t>
      </w:r>
      <w:r>
        <w:rPr/>
        <w:t>бити од</w:t>
      </w:r>
      <w:r>
        <w:rPr>
          <w:spacing w:val="22"/>
        </w:rPr>
        <w:t> </w:t>
      </w:r>
      <w:r>
        <w:rPr/>
        <w:t>значаја</w:t>
      </w:r>
      <w:r>
        <w:rPr>
          <w:spacing w:val="23"/>
        </w:rPr>
        <w:t> </w:t>
      </w:r>
      <w:r>
        <w:rPr/>
        <w:t>за</w:t>
      </w:r>
      <w:r>
        <w:rPr>
          <w:spacing w:val="24"/>
        </w:rPr>
        <w:t> </w:t>
      </w:r>
      <w:r>
        <w:rPr/>
        <w:t>препознавање</w:t>
      </w:r>
      <w:r>
        <w:rPr>
          <w:spacing w:val="25"/>
        </w:rPr>
        <w:t> </w:t>
      </w:r>
      <w:r>
        <w:rPr/>
        <w:t>потребе</w:t>
      </w:r>
      <w:r>
        <w:rPr>
          <w:spacing w:val="24"/>
        </w:rPr>
        <w:t> </w:t>
      </w:r>
      <w:r>
        <w:rPr/>
        <w:t>за</w:t>
      </w:r>
      <w:r>
        <w:rPr>
          <w:spacing w:val="28"/>
        </w:rPr>
        <w:t> </w:t>
      </w:r>
      <w:r>
        <w:rPr/>
        <w:t>унапређењем</w:t>
      </w:r>
      <w:r>
        <w:rPr>
          <w:spacing w:val="24"/>
        </w:rPr>
        <w:t> </w:t>
      </w:r>
      <w:r>
        <w:rPr/>
        <w:t>или</w:t>
      </w:r>
      <w:r>
        <w:rPr>
          <w:spacing w:val="25"/>
        </w:rPr>
        <w:t> </w:t>
      </w:r>
      <w:r>
        <w:rPr/>
        <w:t>изменама</w:t>
      </w:r>
      <w:r>
        <w:rPr>
          <w:spacing w:val="26"/>
        </w:rPr>
        <w:t> </w:t>
      </w:r>
      <w:r>
        <w:rPr/>
        <w:t>одредаба</w:t>
      </w:r>
      <w:r>
        <w:rPr>
          <w:spacing w:val="23"/>
        </w:rPr>
        <w:t> </w:t>
      </w:r>
      <w:r>
        <w:rPr/>
        <w:t>које</w:t>
      </w:r>
      <w:r>
        <w:rPr>
          <w:spacing w:val="27"/>
        </w:rPr>
        <w:t> </w:t>
      </w:r>
      <w:r>
        <w:rPr/>
        <w:t>су</w:t>
      </w:r>
      <w:r>
        <w:rPr>
          <w:spacing w:val="19"/>
        </w:rPr>
        <w:t> </w:t>
      </w:r>
      <w:r>
        <w:rPr/>
        <w:t>се</w:t>
      </w:r>
      <w:r>
        <w:rPr>
          <w:spacing w:val="29"/>
        </w:rPr>
        <w:t> </w:t>
      </w:r>
      <w:r>
        <w:rPr>
          <w:spacing w:val="-10"/>
        </w:rPr>
        <w:t>у</w:t>
      </w:r>
    </w:p>
    <w:p>
      <w:pPr>
        <w:pStyle w:val="BodyText"/>
        <w:spacing w:after="0"/>
        <w:sectPr>
          <w:pgSz w:w="12240" w:h="15840"/>
          <w:pgMar w:header="0" w:footer="702" w:top="1360" w:bottom="900" w:left="1080" w:right="720"/>
        </w:sectPr>
      </w:pPr>
    </w:p>
    <w:p>
      <w:pPr>
        <w:pStyle w:val="BodyText"/>
        <w:spacing w:before="72"/>
        <w:ind w:right="712"/>
      </w:pPr>
      <w:r>
        <w:rPr/>
        <w:t>пракси показале да нису више примењиве или да не дају очекиване резултате (све чешћа питања</w:t>
      </w:r>
      <w:r>
        <w:rPr>
          <w:spacing w:val="-8"/>
        </w:rPr>
        <w:t> </w:t>
      </w:r>
      <w:r>
        <w:rPr/>
        <w:t>проширења</w:t>
      </w:r>
      <w:r>
        <w:rPr>
          <w:spacing w:val="-8"/>
        </w:rPr>
        <w:t> </w:t>
      </w:r>
      <w:r>
        <w:rPr/>
        <w:t>носилаца</w:t>
      </w:r>
      <w:r>
        <w:rPr>
          <w:spacing w:val="-8"/>
        </w:rPr>
        <w:t> </w:t>
      </w:r>
      <w:r>
        <w:rPr/>
        <w:t>послова</w:t>
      </w:r>
      <w:r>
        <w:rPr>
          <w:spacing w:val="-8"/>
        </w:rPr>
        <w:t> </w:t>
      </w:r>
      <w:r>
        <w:rPr/>
        <w:t>запошљавања,</w:t>
      </w:r>
      <w:r>
        <w:rPr>
          <w:spacing w:val="-7"/>
        </w:rPr>
        <w:t> </w:t>
      </w:r>
      <w:r>
        <w:rPr/>
        <w:t>диференцирање</w:t>
      </w:r>
      <w:r>
        <w:rPr>
          <w:spacing w:val="-5"/>
        </w:rPr>
        <w:t> </w:t>
      </w:r>
      <w:r>
        <w:rPr/>
        <w:t>мера</w:t>
      </w:r>
      <w:r>
        <w:rPr>
          <w:spacing w:val="-3"/>
        </w:rPr>
        <w:t> </w:t>
      </w:r>
      <w:r>
        <w:rPr/>
        <w:t>АПЗ</w:t>
      </w:r>
      <w:r>
        <w:rPr>
          <w:spacing w:val="-7"/>
        </w:rPr>
        <w:t> </w:t>
      </w:r>
      <w:r>
        <w:rPr/>
        <w:t>на</w:t>
      </w:r>
      <w:r>
        <w:rPr>
          <w:spacing w:val="-3"/>
        </w:rPr>
        <w:t> </w:t>
      </w:r>
      <w:r>
        <w:rPr/>
        <w:t>услуге</w:t>
      </w:r>
      <w:r>
        <w:rPr>
          <w:spacing w:val="-8"/>
        </w:rPr>
        <w:t> </w:t>
      </w:r>
      <w:r>
        <w:rPr/>
        <w:t>и мере, остваривање права и утврђивање висине новчане накнаде за случај незапослености, извршење обавезе запошљавања ОСИ и праћење извршења те обавезе, доступност средстава уплаћених у Буџетски фонд у пуном обиму у складу са наменама утврђеним у прописима из области запошљавања и професионалне рехабилитације и сл.).</w:t>
      </w:r>
    </w:p>
    <w:p>
      <w:pPr>
        <w:pStyle w:val="BodyText"/>
        <w:spacing w:before="120"/>
        <w:ind w:right="715" w:firstLine="719"/>
      </w:pPr>
      <w:r>
        <w:rPr/>
        <w:t>Уколико се редуковање дуалности на тржишту рада посматра кроз повећање формалне запослености и смањење неформалне запослености, у посматраном периоду повећана</w:t>
      </w:r>
      <w:r>
        <w:rPr>
          <w:spacing w:val="-2"/>
        </w:rPr>
        <w:t> </w:t>
      </w:r>
      <w:r>
        <w:rPr/>
        <w:t>је</w:t>
      </w:r>
      <w:r>
        <w:rPr>
          <w:spacing w:val="-2"/>
        </w:rPr>
        <w:t> </w:t>
      </w:r>
      <w:r>
        <w:rPr/>
        <w:t>формална</w:t>
      </w:r>
      <w:r>
        <w:rPr>
          <w:spacing w:val="-2"/>
        </w:rPr>
        <w:t> </w:t>
      </w:r>
      <w:r>
        <w:rPr/>
        <w:t>и</w:t>
      </w:r>
      <w:r>
        <w:rPr>
          <w:spacing w:val="-3"/>
        </w:rPr>
        <w:t> </w:t>
      </w:r>
      <w:r>
        <w:rPr/>
        <w:t>смањена</w:t>
      </w:r>
      <w:r>
        <w:rPr>
          <w:spacing w:val="-2"/>
        </w:rPr>
        <w:t> </w:t>
      </w:r>
      <w:r>
        <w:rPr/>
        <w:t>неформална</w:t>
      </w:r>
      <w:r>
        <w:rPr>
          <w:spacing w:val="-2"/>
        </w:rPr>
        <w:t> </w:t>
      </w:r>
      <w:r>
        <w:rPr/>
        <w:t>запосленост,</w:t>
      </w:r>
      <w:r>
        <w:rPr>
          <w:spacing w:val="-1"/>
        </w:rPr>
        <w:t> </w:t>
      </w:r>
      <w:r>
        <w:rPr/>
        <w:t>али је</w:t>
      </w:r>
      <w:r>
        <w:rPr>
          <w:spacing w:val="-2"/>
        </w:rPr>
        <w:t> </w:t>
      </w:r>
      <w:r>
        <w:rPr/>
        <w:t>дошло</w:t>
      </w:r>
      <w:r>
        <w:rPr>
          <w:spacing w:val="-1"/>
        </w:rPr>
        <w:t> </w:t>
      </w:r>
      <w:r>
        <w:rPr/>
        <w:t>и до</w:t>
      </w:r>
      <w:r>
        <w:rPr>
          <w:spacing w:val="-3"/>
        </w:rPr>
        <w:t> </w:t>
      </w:r>
      <w:r>
        <w:rPr/>
        <w:t>прерасподеле неформално запослених према професионалном статусу, тиме што је повећано учешће самозапослених и запослених за плату у нерегистрованим фирмама и смањено учешће помажућих чланова домаћинства.</w:t>
      </w:r>
    </w:p>
    <w:p>
      <w:pPr>
        <w:pStyle w:val="BodyText"/>
        <w:spacing w:before="121"/>
        <w:ind w:right="715" w:firstLine="719"/>
      </w:pPr>
      <w:r>
        <w:rPr/>
        <w:t>Такође</w:t>
      </w:r>
      <w:r>
        <w:rPr>
          <w:spacing w:val="-4"/>
        </w:rPr>
        <w:t> </w:t>
      </w:r>
      <w:r>
        <w:rPr/>
        <w:t>„флексибилниˮ</w:t>
      </w:r>
      <w:r>
        <w:rPr>
          <w:spacing w:val="-6"/>
        </w:rPr>
        <w:t> </w:t>
      </w:r>
      <w:r>
        <w:rPr/>
        <w:t>облици</w:t>
      </w:r>
      <w:r>
        <w:rPr>
          <w:spacing w:val="-3"/>
        </w:rPr>
        <w:t> </w:t>
      </w:r>
      <w:r>
        <w:rPr/>
        <w:t>рада</w:t>
      </w:r>
      <w:r>
        <w:rPr>
          <w:spacing w:val="-4"/>
        </w:rPr>
        <w:t> </w:t>
      </w:r>
      <w:r>
        <w:rPr/>
        <w:t>попут уговора</w:t>
      </w:r>
      <w:r>
        <w:rPr>
          <w:spacing w:val="-4"/>
        </w:rPr>
        <w:t> </w:t>
      </w:r>
      <w:r>
        <w:rPr/>
        <w:t>о</w:t>
      </w:r>
      <w:r>
        <w:rPr>
          <w:spacing w:val="-3"/>
        </w:rPr>
        <w:t> </w:t>
      </w:r>
      <w:r>
        <w:rPr/>
        <w:t>делу, уговора</w:t>
      </w:r>
      <w:r>
        <w:rPr>
          <w:spacing w:val="-4"/>
        </w:rPr>
        <w:t> </w:t>
      </w:r>
      <w:r>
        <w:rPr/>
        <w:t>о</w:t>
      </w:r>
      <w:r>
        <w:rPr>
          <w:spacing w:val="-1"/>
        </w:rPr>
        <w:t> </w:t>
      </w:r>
      <w:r>
        <w:rPr/>
        <w:t>привременим</w:t>
      </w:r>
      <w:r>
        <w:rPr>
          <w:spacing w:val="-4"/>
        </w:rPr>
        <w:t> </w:t>
      </w:r>
      <w:r>
        <w:rPr/>
        <w:t>и повременим пословима, уговора о стручном оспособљавању, рад преко студентске или омладинске</w:t>
      </w:r>
      <w:r>
        <w:rPr>
          <w:spacing w:val="-11"/>
        </w:rPr>
        <w:t> </w:t>
      </w:r>
      <w:r>
        <w:rPr/>
        <w:t>задруге</w:t>
      </w:r>
      <w:r>
        <w:rPr>
          <w:spacing w:val="-11"/>
        </w:rPr>
        <w:t> </w:t>
      </w:r>
      <w:r>
        <w:rPr/>
        <w:t>постају</w:t>
      </w:r>
      <w:r>
        <w:rPr>
          <w:spacing w:val="-14"/>
        </w:rPr>
        <w:t> </w:t>
      </w:r>
      <w:r>
        <w:rPr/>
        <w:t>све</w:t>
      </w:r>
      <w:r>
        <w:rPr>
          <w:spacing w:val="-11"/>
        </w:rPr>
        <w:t> </w:t>
      </w:r>
      <w:r>
        <w:rPr/>
        <w:t>заступљенији</w:t>
      </w:r>
      <w:r>
        <w:rPr>
          <w:spacing w:val="-8"/>
        </w:rPr>
        <w:t> </w:t>
      </w:r>
      <w:r>
        <w:rPr/>
        <w:t>па</w:t>
      </w:r>
      <w:r>
        <w:rPr>
          <w:spacing w:val="-11"/>
        </w:rPr>
        <w:t> </w:t>
      </w:r>
      <w:r>
        <w:rPr/>
        <w:t>је</w:t>
      </w:r>
      <w:r>
        <w:rPr>
          <w:spacing w:val="-10"/>
        </w:rPr>
        <w:t> </w:t>
      </w:r>
      <w:r>
        <w:rPr/>
        <w:t>потребно</w:t>
      </w:r>
      <w:r>
        <w:rPr>
          <w:spacing w:val="-10"/>
        </w:rPr>
        <w:t> </w:t>
      </w:r>
      <w:r>
        <w:rPr/>
        <w:t>додатно</w:t>
      </w:r>
      <w:r>
        <w:rPr>
          <w:spacing w:val="-12"/>
        </w:rPr>
        <w:t> </w:t>
      </w:r>
      <w:r>
        <w:rPr/>
        <w:t>преиспитати</w:t>
      </w:r>
      <w:r>
        <w:rPr>
          <w:spacing w:val="-11"/>
        </w:rPr>
        <w:t> </w:t>
      </w:r>
      <w:r>
        <w:rPr/>
        <w:t>законску регулативу која се често тумачи прешироко и произвољно од стране послодаваца и тиме доводи у питање радна и социјална права оних који су у њих укључени. Посебно треба имати у</w:t>
      </w:r>
      <w:r>
        <w:rPr>
          <w:spacing w:val="-10"/>
        </w:rPr>
        <w:t> </w:t>
      </w:r>
      <w:r>
        <w:rPr/>
        <w:t>виду</w:t>
      </w:r>
      <w:r>
        <w:rPr>
          <w:spacing w:val="-8"/>
        </w:rPr>
        <w:t> </w:t>
      </w:r>
      <w:r>
        <w:rPr/>
        <w:t>да</w:t>
      </w:r>
      <w:r>
        <w:rPr>
          <w:spacing w:val="-4"/>
        </w:rPr>
        <w:t> </w:t>
      </w:r>
      <w:r>
        <w:rPr/>
        <w:t>је</w:t>
      </w:r>
      <w:r>
        <w:rPr>
          <w:spacing w:val="-3"/>
        </w:rPr>
        <w:t> </w:t>
      </w:r>
      <w:r>
        <w:rPr/>
        <w:t>активно учешће</w:t>
      </w:r>
      <w:r>
        <w:rPr>
          <w:spacing w:val="-4"/>
        </w:rPr>
        <w:t> </w:t>
      </w:r>
      <w:r>
        <w:rPr/>
        <w:t>социјалних</w:t>
      </w:r>
      <w:r>
        <w:rPr>
          <w:spacing w:val="-3"/>
        </w:rPr>
        <w:t> </w:t>
      </w:r>
      <w:r>
        <w:rPr/>
        <w:t>партнера</w:t>
      </w:r>
      <w:r>
        <w:rPr>
          <w:spacing w:val="-1"/>
        </w:rPr>
        <w:t> </w:t>
      </w:r>
      <w:r>
        <w:rPr/>
        <w:t>у</w:t>
      </w:r>
      <w:r>
        <w:rPr>
          <w:spacing w:val="-8"/>
        </w:rPr>
        <w:t> </w:t>
      </w:r>
      <w:r>
        <w:rPr/>
        <w:t>основи</w:t>
      </w:r>
      <w:r>
        <w:rPr>
          <w:spacing w:val="-3"/>
        </w:rPr>
        <w:t> </w:t>
      </w:r>
      <w:r>
        <w:rPr/>
        <w:t>јачања</w:t>
      </w:r>
      <w:r>
        <w:rPr>
          <w:spacing w:val="-4"/>
        </w:rPr>
        <w:t> </w:t>
      </w:r>
      <w:r>
        <w:rPr/>
        <w:t>флексигурности и подразумева флексибилне и сигурне уговоре о раду и из перспективе послодавца и из перспективе</w:t>
      </w:r>
      <w:r>
        <w:rPr>
          <w:spacing w:val="-10"/>
        </w:rPr>
        <w:t> </w:t>
      </w:r>
      <w:r>
        <w:rPr/>
        <w:t>запосленог.</w:t>
      </w:r>
      <w:r>
        <w:rPr>
          <w:spacing w:val="-10"/>
        </w:rPr>
        <w:t> </w:t>
      </w:r>
      <w:r>
        <w:rPr/>
        <w:t>Иако</w:t>
      </w:r>
      <w:r>
        <w:rPr>
          <w:spacing w:val="-10"/>
        </w:rPr>
        <w:t> </w:t>
      </w:r>
      <w:r>
        <w:rPr/>
        <w:t>израда</w:t>
      </w:r>
      <w:r>
        <w:rPr>
          <w:spacing w:val="-10"/>
        </w:rPr>
        <w:t> </w:t>
      </w:r>
      <w:r>
        <w:rPr/>
        <w:t>новог</w:t>
      </w:r>
      <w:r>
        <w:rPr>
          <w:spacing w:val="-9"/>
        </w:rPr>
        <w:t> </w:t>
      </w:r>
      <w:r>
        <w:rPr/>
        <w:t>Закона</w:t>
      </w:r>
      <w:r>
        <w:rPr>
          <w:spacing w:val="-11"/>
        </w:rPr>
        <w:t> </w:t>
      </w:r>
      <w:r>
        <w:rPr/>
        <w:t>о</w:t>
      </w:r>
      <w:r>
        <w:rPr>
          <w:spacing w:val="-10"/>
        </w:rPr>
        <w:t> </w:t>
      </w:r>
      <w:r>
        <w:rPr/>
        <w:t>раду</w:t>
      </w:r>
      <w:r>
        <w:rPr>
          <w:spacing w:val="-14"/>
        </w:rPr>
        <w:t> </w:t>
      </w:r>
      <w:r>
        <w:rPr/>
        <w:t>није</w:t>
      </w:r>
      <w:r>
        <w:rPr>
          <w:spacing w:val="-10"/>
        </w:rPr>
        <w:t> </w:t>
      </w:r>
      <w:r>
        <w:rPr/>
        <w:t>била</w:t>
      </w:r>
      <w:r>
        <w:rPr>
          <w:spacing w:val="-10"/>
        </w:rPr>
        <w:t> </w:t>
      </w:r>
      <w:r>
        <w:rPr/>
        <w:t>постављена</w:t>
      </w:r>
      <w:r>
        <w:rPr>
          <w:spacing w:val="-10"/>
        </w:rPr>
        <w:t> </w:t>
      </w:r>
      <w:r>
        <w:rPr/>
        <w:t>као</w:t>
      </w:r>
      <w:r>
        <w:rPr>
          <w:spacing w:val="-10"/>
        </w:rPr>
        <w:t> </w:t>
      </w:r>
      <w:r>
        <w:rPr/>
        <w:t>задатак у Националној стратегији запошљавања за период 2011-2020. године, пракса показује потребу преиспитивања усклађености Закона о раду са директивама и другим прописима ЕУ односно усаглашености овог прописа са међународним стандардима.</w:t>
      </w:r>
    </w:p>
    <w:p>
      <w:pPr>
        <w:pStyle w:val="BodyText"/>
        <w:spacing w:before="121"/>
        <w:ind w:right="714" w:firstLine="719"/>
      </w:pPr>
      <w:r>
        <w:rPr/>
        <w:t>Одрживост</w:t>
      </w:r>
      <w:r>
        <w:rPr>
          <w:spacing w:val="-15"/>
        </w:rPr>
        <w:t> </w:t>
      </w:r>
      <w:r>
        <w:rPr/>
        <w:t>резултата</w:t>
      </w:r>
      <w:r>
        <w:rPr>
          <w:spacing w:val="-12"/>
        </w:rPr>
        <w:t> </w:t>
      </w:r>
      <w:r>
        <w:rPr/>
        <w:t>стратешког</w:t>
      </w:r>
      <w:r>
        <w:rPr>
          <w:spacing w:val="-14"/>
        </w:rPr>
        <w:t> </w:t>
      </w:r>
      <w:r>
        <w:rPr/>
        <w:t>оквира</w:t>
      </w:r>
      <w:r>
        <w:rPr>
          <w:spacing w:val="-15"/>
        </w:rPr>
        <w:t> </w:t>
      </w:r>
      <w:r>
        <w:rPr/>
        <w:t>политике</w:t>
      </w:r>
      <w:r>
        <w:rPr>
          <w:spacing w:val="-15"/>
        </w:rPr>
        <w:t> </w:t>
      </w:r>
      <w:r>
        <w:rPr/>
        <w:t>запошљавања</w:t>
      </w:r>
      <w:r>
        <w:rPr>
          <w:spacing w:val="-13"/>
        </w:rPr>
        <w:t> </w:t>
      </w:r>
      <w:r>
        <w:rPr/>
        <w:t>постигнутих</w:t>
      </w:r>
      <w:r>
        <w:rPr>
          <w:spacing w:val="-13"/>
        </w:rPr>
        <w:t> </w:t>
      </w:r>
      <w:r>
        <w:rPr/>
        <w:t>током периода 2011-2020. године у великој мери зависиће од одлучности доносилаца одлука о јавним политикама да осигурају континуитет у примени прихваћених политика, користе претходно развијене ресурсе и јачају капацитете, уз реализацију развојних мера и </w:t>
      </w:r>
      <w:r>
        <w:rPr>
          <w:spacing w:val="-2"/>
        </w:rPr>
        <w:t>интервенција.</w:t>
      </w:r>
    </w:p>
    <w:p>
      <w:pPr>
        <w:pStyle w:val="BodyText"/>
        <w:spacing w:before="120"/>
        <w:ind w:right="715" w:firstLine="719"/>
      </w:pPr>
      <w:r>
        <w:rPr/>
        <w:t>Исти изазови препознати су и у анализама које су за потребе израде Стратегије припремили експерти МОР-а а тичу се:</w:t>
      </w:r>
    </w:p>
    <w:p>
      <w:pPr>
        <w:pStyle w:val="ListParagraph"/>
        <w:numPr>
          <w:ilvl w:val="0"/>
          <w:numId w:val="4"/>
        </w:numPr>
        <w:tabs>
          <w:tab w:pos="1080" w:val="left" w:leader="none"/>
        </w:tabs>
        <w:spacing w:line="240" w:lineRule="auto" w:before="120" w:after="0"/>
        <w:ind w:left="1080" w:right="721" w:hanging="360"/>
        <w:jc w:val="both"/>
        <w:rPr>
          <w:sz w:val="24"/>
        </w:rPr>
      </w:pPr>
      <w:r>
        <w:rPr>
          <w:sz w:val="24"/>
        </w:rPr>
        <w:t>организације и систематизације НСЗ где се предност даје функцијама подршке у односу на основну делатност,</w:t>
      </w:r>
    </w:p>
    <w:p>
      <w:pPr>
        <w:pStyle w:val="ListParagraph"/>
        <w:numPr>
          <w:ilvl w:val="0"/>
          <w:numId w:val="4"/>
        </w:numPr>
        <w:tabs>
          <w:tab w:pos="1079" w:val="left" w:leader="none"/>
        </w:tabs>
        <w:spacing w:line="240" w:lineRule="auto" w:before="29" w:after="0"/>
        <w:ind w:left="1079" w:right="0" w:hanging="359"/>
        <w:jc w:val="both"/>
        <w:rPr>
          <w:sz w:val="24"/>
        </w:rPr>
      </w:pPr>
      <w:r>
        <w:rPr>
          <w:sz w:val="24"/>
        </w:rPr>
        <w:t>ограничених</w:t>
      </w:r>
      <w:r>
        <w:rPr>
          <w:spacing w:val="-2"/>
          <w:sz w:val="24"/>
        </w:rPr>
        <w:t> </w:t>
      </w:r>
      <w:r>
        <w:rPr>
          <w:sz w:val="24"/>
        </w:rPr>
        <w:t>употреба</w:t>
      </w:r>
      <w:r>
        <w:rPr>
          <w:spacing w:val="-2"/>
          <w:sz w:val="24"/>
        </w:rPr>
        <w:t> </w:t>
      </w:r>
      <w:r>
        <w:rPr>
          <w:sz w:val="24"/>
        </w:rPr>
        <w:t>метода</w:t>
      </w:r>
      <w:r>
        <w:rPr>
          <w:spacing w:val="-4"/>
          <w:sz w:val="24"/>
        </w:rPr>
        <w:t> </w:t>
      </w:r>
      <w:r>
        <w:rPr>
          <w:sz w:val="24"/>
        </w:rPr>
        <w:t>и</w:t>
      </w:r>
      <w:r>
        <w:rPr>
          <w:spacing w:val="-3"/>
          <w:sz w:val="24"/>
        </w:rPr>
        <w:t> </w:t>
      </w:r>
      <w:r>
        <w:rPr>
          <w:sz w:val="24"/>
        </w:rPr>
        <w:t>инструмената</w:t>
      </w:r>
      <w:r>
        <w:rPr>
          <w:spacing w:val="-2"/>
          <w:sz w:val="24"/>
        </w:rPr>
        <w:t> </w:t>
      </w:r>
      <w:r>
        <w:rPr>
          <w:sz w:val="24"/>
        </w:rPr>
        <w:t>за</w:t>
      </w:r>
      <w:r>
        <w:rPr>
          <w:spacing w:val="-4"/>
          <w:sz w:val="24"/>
        </w:rPr>
        <w:t> </w:t>
      </w:r>
      <w:r>
        <w:rPr>
          <w:sz w:val="24"/>
        </w:rPr>
        <w:t>активацију</w:t>
      </w:r>
      <w:r>
        <w:rPr>
          <w:spacing w:val="-10"/>
          <w:sz w:val="24"/>
        </w:rPr>
        <w:t> </w:t>
      </w:r>
      <w:r>
        <w:rPr>
          <w:sz w:val="24"/>
        </w:rPr>
        <w:t>незапослених</w:t>
      </w:r>
      <w:r>
        <w:rPr>
          <w:spacing w:val="-1"/>
          <w:sz w:val="24"/>
        </w:rPr>
        <w:t> </w:t>
      </w:r>
      <w:r>
        <w:rPr>
          <w:spacing w:val="-2"/>
          <w:sz w:val="24"/>
        </w:rPr>
        <w:t>лица,</w:t>
      </w:r>
    </w:p>
    <w:p>
      <w:pPr>
        <w:pStyle w:val="ListParagraph"/>
        <w:numPr>
          <w:ilvl w:val="0"/>
          <w:numId w:val="4"/>
        </w:numPr>
        <w:tabs>
          <w:tab w:pos="1080" w:val="left" w:leader="none"/>
        </w:tabs>
        <w:spacing w:line="237" w:lineRule="auto" w:before="29" w:after="0"/>
        <w:ind w:left="1080" w:right="723" w:hanging="360"/>
        <w:jc w:val="both"/>
        <w:rPr>
          <w:sz w:val="24"/>
        </w:rPr>
      </w:pPr>
      <w:r>
        <w:rPr>
          <w:sz w:val="24"/>
        </w:rPr>
        <w:t>недовољних финансијских средстава за мере АПЗ и ниског степена делотворности појединих мера АПЗ (посебно обука за тржиште рада),</w:t>
      </w:r>
    </w:p>
    <w:p>
      <w:pPr>
        <w:pStyle w:val="ListParagraph"/>
        <w:numPr>
          <w:ilvl w:val="0"/>
          <w:numId w:val="4"/>
        </w:numPr>
        <w:tabs>
          <w:tab w:pos="1080" w:val="left" w:leader="none"/>
        </w:tabs>
        <w:spacing w:line="240" w:lineRule="auto" w:before="30" w:after="0"/>
        <w:ind w:left="1080" w:right="720" w:hanging="360"/>
        <w:jc w:val="both"/>
        <w:rPr>
          <w:sz w:val="24"/>
        </w:rPr>
      </w:pPr>
      <w:r>
        <w:rPr>
          <w:sz w:val="24"/>
        </w:rPr>
        <w:t>недовољних кадровских капацитета Министарста за рад, запошљавање, борачка и социјална питања у делу организационих јединица у чијој је надлежности активна политика запошљавања.</w:t>
      </w:r>
    </w:p>
    <w:p>
      <w:pPr>
        <w:pStyle w:val="BodyText"/>
        <w:spacing w:before="117"/>
        <w:ind w:right="717" w:firstLine="719"/>
      </w:pPr>
      <w:r>
        <w:rPr/>
        <w:t>У обзир треба узети и оцену из Извештаја Европске комисије о напретку Србије за 2020. годину, да је, у области социјалне политике и запошљавања, Србија умерено припремљена.</w:t>
      </w:r>
      <w:r>
        <w:rPr>
          <w:spacing w:val="-15"/>
        </w:rPr>
        <w:t> </w:t>
      </w:r>
      <w:r>
        <w:rPr/>
        <w:t>Тржиште</w:t>
      </w:r>
      <w:r>
        <w:rPr>
          <w:spacing w:val="-15"/>
        </w:rPr>
        <w:t> </w:t>
      </w:r>
      <w:r>
        <w:rPr/>
        <w:t>рада</w:t>
      </w:r>
      <w:r>
        <w:rPr>
          <w:spacing w:val="-15"/>
        </w:rPr>
        <w:t> </w:t>
      </w:r>
      <w:r>
        <w:rPr/>
        <w:t>забележило</w:t>
      </w:r>
      <w:r>
        <w:rPr>
          <w:spacing w:val="-15"/>
        </w:rPr>
        <w:t> </w:t>
      </w:r>
      <w:r>
        <w:rPr/>
        <w:t>је,</w:t>
      </w:r>
      <w:r>
        <w:rPr>
          <w:spacing w:val="-15"/>
        </w:rPr>
        <w:t> </w:t>
      </w:r>
      <w:r>
        <w:rPr/>
        <w:t>у</w:t>
      </w:r>
      <w:r>
        <w:rPr>
          <w:spacing w:val="-15"/>
        </w:rPr>
        <w:t> </w:t>
      </w:r>
      <w:r>
        <w:rPr/>
        <w:t>последњим</w:t>
      </w:r>
      <w:r>
        <w:rPr>
          <w:spacing w:val="-15"/>
        </w:rPr>
        <w:t> </w:t>
      </w:r>
      <w:r>
        <w:rPr/>
        <w:t>годинама,</w:t>
      </w:r>
      <w:r>
        <w:rPr>
          <w:spacing w:val="-15"/>
        </w:rPr>
        <w:t> </w:t>
      </w:r>
      <w:r>
        <w:rPr/>
        <w:t>значајнија</w:t>
      </w:r>
      <w:r>
        <w:rPr>
          <w:spacing w:val="-15"/>
        </w:rPr>
        <w:t> </w:t>
      </w:r>
      <w:r>
        <w:rPr/>
        <w:t>побољшања, али су и даље присутни структурални проблеми, демографски и миграциони изазови. Недостају</w:t>
      </w:r>
      <w:r>
        <w:rPr>
          <w:spacing w:val="-13"/>
        </w:rPr>
        <w:t> </w:t>
      </w:r>
      <w:r>
        <w:rPr/>
        <w:t>адекватни</w:t>
      </w:r>
      <w:r>
        <w:rPr>
          <w:spacing w:val="-11"/>
        </w:rPr>
        <w:t> </w:t>
      </w:r>
      <w:r>
        <w:rPr/>
        <w:t>финансијски</w:t>
      </w:r>
      <w:r>
        <w:rPr>
          <w:spacing w:val="-13"/>
        </w:rPr>
        <w:t> </w:t>
      </w:r>
      <w:r>
        <w:rPr/>
        <w:t>и</w:t>
      </w:r>
      <w:r>
        <w:rPr>
          <w:spacing w:val="-11"/>
        </w:rPr>
        <w:t> </w:t>
      </w:r>
      <w:r>
        <w:rPr/>
        <w:t>институционални</w:t>
      </w:r>
      <w:r>
        <w:rPr>
          <w:spacing w:val="-11"/>
        </w:rPr>
        <w:t> </w:t>
      </w:r>
      <w:r>
        <w:rPr/>
        <w:t>ресурси</w:t>
      </w:r>
      <w:r>
        <w:rPr>
          <w:spacing w:val="-11"/>
        </w:rPr>
        <w:t> </w:t>
      </w:r>
      <w:r>
        <w:rPr/>
        <w:t>за</w:t>
      </w:r>
      <w:r>
        <w:rPr>
          <w:spacing w:val="-10"/>
        </w:rPr>
        <w:t> </w:t>
      </w:r>
      <w:r>
        <w:rPr/>
        <w:t>запошљавање</w:t>
      </w:r>
      <w:r>
        <w:rPr>
          <w:spacing w:val="-10"/>
        </w:rPr>
        <w:t> </w:t>
      </w:r>
      <w:r>
        <w:rPr/>
        <w:t>и</w:t>
      </w:r>
      <w:r>
        <w:rPr>
          <w:spacing w:val="-11"/>
        </w:rPr>
        <w:t> </w:t>
      </w:r>
      <w:r>
        <w:rPr/>
        <w:t>социјалну</w:t>
      </w:r>
    </w:p>
    <w:p>
      <w:pPr>
        <w:pStyle w:val="BodyText"/>
        <w:spacing w:after="0"/>
        <w:sectPr>
          <w:pgSz w:w="12240" w:h="15840"/>
          <w:pgMar w:header="0" w:footer="702" w:top="1360" w:bottom="900" w:left="1080" w:right="720"/>
        </w:sectPr>
      </w:pPr>
    </w:p>
    <w:p>
      <w:pPr>
        <w:pStyle w:val="BodyText"/>
        <w:spacing w:before="72"/>
        <w:ind w:right="721"/>
      </w:pPr>
      <w:r>
        <w:rPr/>
        <w:t>политику</w:t>
      </w:r>
      <w:r>
        <w:rPr>
          <w:spacing w:val="-6"/>
        </w:rPr>
        <w:t> </w:t>
      </w:r>
      <w:r>
        <w:rPr/>
        <w:t>како би систематичније били усмерени</w:t>
      </w:r>
      <w:r>
        <w:rPr>
          <w:spacing w:val="-1"/>
        </w:rPr>
        <w:t> </w:t>
      </w:r>
      <w:r>
        <w:rPr/>
        <w:t>на</w:t>
      </w:r>
      <w:r>
        <w:rPr>
          <w:spacing w:val="-1"/>
        </w:rPr>
        <w:t> </w:t>
      </w:r>
      <w:r>
        <w:rPr/>
        <w:t>младе, жене</w:t>
      </w:r>
      <w:r>
        <w:rPr>
          <w:spacing w:val="-1"/>
        </w:rPr>
        <w:t> </w:t>
      </w:r>
      <w:r>
        <w:rPr/>
        <w:t>и</w:t>
      </w:r>
      <w:r>
        <w:rPr>
          <w:spacing w:val="-1"/>
        </w:rPr>
        <w:t> </w:t>
      </w:r>
      <w:r>
        <w:rPr/>
        <w:t>дугорочно незапослене, и побољшали адекватност социјалних давања за лица која су испод прага сиромаштва.</w:t>
      </w:r>
    </w:p>
    <w:p>
      <w:pPr>
        <w:pStyle w:val="Heading2"/>
        <w:numPr>
          <w:ilvl w:val="1"/>
          <w:numId w:val="1"/>
        </w:numPr>
        <w:tabs>
          <w:tab w:pos="1500" w:val="left" w:leader="none"/>
        </w:tabs>
        <w:spacing w:line="240" w:lineRule="auto" w:before="125" w:after="0"/>
        <w:ind w:left="1500" w:right="0" w:hanging="420"/>
        <w:jc w:val="both"/>
      </w:pPr>
      <w:r>
        <w:rPr/>
        <w:t>Анализа</w:t>
      </w:r>
      <w:r>
        <w:rPr>
          <w:spacing w:val="-4"/>
        </w:rPr>
        <w:t> </w:t>
      </w:r>
      <w:r>
        <w:rPr/>
        <w:t>проблема</w:t>
      </w:r>
      <w:r>
        <w:rPr>
          <w:spacing w:val="-4"/>
        </w:rPr>
        <w:t> </w:t>
      </w:r>
      <w:r>
        <w:rPr/>
        <w:t>и</w:t>
      </w:r>
      <w:r>
        <w:rPr>
          <w:spacing w:val="-4"/>
        </w:rPr>
        <w:t> </w:t>
      </w:r>
      <w:r>
        <w:rPr/>
        <w:t>заинтересоване</w:t>
      </w:r>
      <w:r>
        <w:rPr>
          <w:spacing w:val="-4"/>
        </w:rPr>
        <w:t> </w:t>
      </w:r>
      <w:r>
        <w:rPr>
          <w:spacing w:val="-2"/>
        </w:rPr>
        <w:t>стране</w:t>
      </w:r>
    </w:p>
    <w:p>
      <w:pPr>
        <w:pStyle w:val="BodyText"/>
        <w:spacing w:before="115"/>
        <w:ind w:right="714" w:firstLine="719"/>
      </w:pPr>
      <w:r>
        <w:rPr/>
        <w:t>На бази претходно приказане анализе стања на тржишту рада Србије, Еx-post анализе ефеката, као и осталих тематских анализа</w:t>
      </w:r>
      <w:r>
        <w:rPr>
          <w:vertAlign w:val="superscript"/>
        </w:rPr>
        <w:t>33</w:t>
      </w:r>
      <w:r>
        <w:rPr>
          <w:vertAlign w:val="baseline"/>
        </w:rPr>
        <w:t>, идентификовани су следећи кључни проблеми које је потребно решити спровођењем Стратегије:</w:t>
      </w:r>
    </w:p>
    <w:p>
      <w:pPr>
        <w:pStyle w:val="BodyText"/>
        <w:spacing w:before="123"/>
        <w:ind w:left="859"/>
      </w:pPr>
      <w:r>
        <w:rPr/>
        <w:t>Табела</w:t>
      </w:r>
      <w:r>
        <w:rPr>
          <w:spacing w:val="-4"/>
        </w:rPr>
        <w:t> </w:t>
      </w:r>
      <w:r>
        <w:rPr/>
        <w:t>11.</w:t>
      </w:r>
      <w:r>
        <w:rPr>
          <w:spacing w:val="58"/>
        </w:rPr>
        <w:t> </w:t>
      </w:r>
      <w:r>
        <w:rPr/>
        <w:t>Идентификовани</w:t>
      </w:r>
      <w:r>
        <w:rPr>
          <w:spacing w:val="-3"/>
        </w:rPr>
        <w:t> </w:t>
      </w:r>
      <w:r>
        <w:rPr/>
        <w:t>кључни</w:t>
      </w:r>
      <w:r>
        <w:rPr>
          <w:spacing w:val="-1"/>
        </w:rPr>
        <w:t> </w:t>
      </w:r>
      <w:r>
        <w:rPr/>
        <w:t>проблеми</w:t>
      </w:r>
      <w:r>
        <w:rPr>
          <w:spacing w:val="-2"/>
        </w:rPr>
        <w:t> </w:t>
      </w:r>
      <w:r>
        <w:rPr/>
        <w:t>трансформисани у</w:t>
      </w:r>
      <w:r>
        <w:rPr>
          <w:spacing w:val="-8"/>
        </w:rPr>
        <w:t> </w:t>
      </w:r>
      <w:r>
        <w:rPr/>
        <w:t>циљеве</w:t>
      </w:r>
      <w:r>
        <w:rPr>
          <w:spacing w:val="-2"/>
        </w:rPr>
        <w:t> </w:t>
      </w:r>
      <w:r>
        <w:rPr/>
        <w:t>и</w:t>
      </w:r>
      <w:r>
        <w:rPr>
          <w:spacing w:val="-2"/>
        </w:rPr>
        <w:t> </w:t>
      </w:r>
      <w:r>
        <w:rPr>
          <w:spacing w:val="-4"/>
        </w:rPr>
        <w:t>мере</w:t>
      </w:r>
    </w:p>
    <w:p>
      <w:pPr>
        <w:pStyle w:val="BodyText"/>
        <w:spacing w:before="2"/>
        <w:ind w:left="0"/>
        <w:jc w:val="left"/>
        <w:rPr>
          <w:sz w:val="13"/>
        </w:rPr>
      </w:pPr>
    </w:p>
    <w:tbl>
      <w:tblPr>
        <w:tblW w:w="0" w:type="auto"/>
        <w:jc w:val="left"/>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4960"/>
        <w:gridCol w:w="4047"/>
      </w:tblGrid>
      <w:tr>
        <w:trPr>
          <w:trHeight w:val="465" w:hRule="atLeast"/>
        </w:trPr>
        <w:tc>
          <w:tcPr>
            <w:tcW w:w="6127" w:type="dxa"/>
            <w:gridSpan w:val="2"/>
            <w:tcBorders>
              <w:top w:val="single" w:sz="6" w:space="0" w:color="000000"/>
              <w:bottom w:val="single" w:sz="6" w:space="0" w:color="000000"/>
              <w:right w:val="single" w:sz="6" w:space="0" w:color="000000"/>
            </w:tcBorders>
          </w:tcPr>
          <w:p>
            <w:pPr>
              <w:pStyle w:val="TableParagraph"/>
              <w:spacing w:before="115"/>
              <w:ind w:left="9"/>
              <w:jc w:val="center"/>
              <w:rPr>
                <w:b/>
                <w:sz w:val="20"/>
              </w:rPr>
            </w:pPr>
            <w:r>
              <w:rPr>
                <w:b/>
                <w:sz w:val="20"/>
              </w:rPr>
              <w:t>Кључни</w:t>
            </w:r>
            <w:r>
              <w:rPr>
                <w:b/>
                <w:spacing w:val="-5"/>
                <w:sz w:val="20"/>
              </w:rPr>
              <w:t> </w:t>
            </w:r>
            <w:r>
              <w:rPr>
                <w:b/>
                <w:sz w:val="20"/>
              </w:rPr>
              <w:t>проблеми</w:t>
            </w:r>
            <w:r>
              <w:rPr>
                <w:b/>
                <w:spacing w:val="-6"/>
                <w:sz w:val="20"/>
              </w:rPr>
              <w:t> </w:t>
            </w:r>
            <w:r>
              <w:rPr>
                <w:b/>
                <w:sz w:val="20"/>
              </w:rPr>
              <w:t>и</w:t>
            </w:r>
            <w:r>
              <w:rPr>
                <w:b/>
                <w:spacing w:val="-6"/>
                <w:sz w:val="20"/>
              </w:rPr>
              <w:t> </w:t>
            </w:r>
            <w:r>
              <w:rPr>
                <w:b/>
                <w:sz w:val="20"/>
              </w:rPr>
              <w:t>њихови</w:t>
            </w:r>
            <w:r>
              <w:rPr>
                <w:b/>
                <w:spacing w:val="-5"/>
                <w:sz w:val="20"/>
              </w:rPr>
              <w:t> </w:t>
            </w:r>
            <w:r>
              <w:rPr>
                <w:b/>
                <w:sz w:val="20"/>
              </w:rPr>
              <w:t>узроци</w:t>
            </w:r>
            <w:r>
              <w:rPr>
                <w:b/>
                <w:spacing w:val="-6"/>
                <w:sz w:val="20"/>
              </w:rPr>
              <w:t> </w:t>
            </w:r>
            <w:r>
              <w:rPr>
                <w:b/>
                <w:sz w:val="20"/>
              </w:rPr>
              <w:t>и</w:t>
            </w:r>
            <w:r>
              <w:rPr>
                <w:b/>
                <w:spacing w:val="-2"/>
                <w:sz w:val="20"/>
              </w:rPr>
              <w:t> последице</w:t>
            </w:r>
          </w:p>
        </w:tc>
        <w:tc>
          <w:tcPr>
            <w:tcW w:w="4047" w:type="dxa"/>
            <w:tcBorders>
              <w:top w:val="single" w:sz="6" w:space="0" w:color="000000"/>
              <w:left w:val="single" w:sz="6" w:space="0" w:color="000000"/>
              <w:bottom w:val="single" w:sz="6" w:space="0" w:color="000000"/>
            </w:tcBorders>
          </w:tcPr>
          <w:p>
            <w:pPr>
              <w:pStyle w:val="TableParagraph"/>
              <w:spacing w:before="115"/>
              <w:ind w:left="99"/>
              <w:rPr>
                <w:b/>
                <w:sz w:val="20"/>
              </w:rPr>
            </w:pPr>
            <w:r>
              <w:rPr>
                <w:b/>
                <w:sz w:val="20"/>
              </w:rPr>
              <w:t>Циљеви</w:t>
            </w:r>
            <w:r>
              <w:rPr>
                <w:b/>
                <w:spacing w:val="-4"/>
                <w:sz w:val="20"/>
              </w:rPr>
              <w:t> </w:t>
            </w:r>
            <w:r>
              <w:rPr>
                <w:b/>
                <w:sz w:val="20"/>
              </w:rPr>
              <w:t>и</w:t>
            </w:r>
            <w:r>
              <w:rPr>
                <w:b/>
                <w:spacing w:val="-4"/>
                <w:sz w:val="20"/>
              </w:rPr>
              <w:t> мере</w:t>
            </w:r>
          </w:p>
        </w:tc>
      </w:tr>
      <w:tr>
        <w:trPr>
          <w:trHeight w:val="689" w:hRule="atLeast"/>
        </w:trPr>
        <w:tc>
          <w:tcPr>
            <w:tcW w:w="1167" w:type="dxa"/>
            <w:tcBorders>
              <w:top w:val="single" w:sz="6" w:space="0" w:color="000000"/>
              <w:right w:val="single" w:sz="6" w:space="0" w:color="000000"/>
            </w:tcBorders>
          </w:tcPr>
          <w:p>
            <w:pPr>
              <w:pStyle w:val="TableParagraph"/>
              <w:spacing w:line="228" w:lineRule="exact"/>
              <w:ind w:right="137"/>
              <w:jc w:val="center"/>
              <w:rPr>
                <w:b/>
                <w:sz w:val="20"/>
              </w:rPr>
            </w:pPr>
            <w:r>
              <w:rPr>
                <w:b/>
                <w:spacing w:val="-2"/>
                <w:sz w:val="20"/>
              </w:rPr>
              <w:t>Проблем</w:t>
            </w:r>
          </w:p>
        </w:tc>
        <w:tc>
          <w:tcPr>
            <w:tcW w:w="4960" w:type="dxa"/>
            <w:tcBorders>
              <w:top w:val="single" w:sz="6" w:space="0" w:color="000000"/>
              <w:left w:val="single" w:sz="6" w:space="0" w:color="000000"/>
              <w:right w:val="single" w:sz="6" w:space="0" w:color="000000"/>
            </w:tcBorders>
          </w:tcPr>
          <w:p>
            <w:pPr>
              <w:pStyle w:val="TableParagraph"/>
              <w:ind w:left="100"/>
              <w:rPr>
                <w:sz w:val="20"/>
              </w:rPr>
            </w:pPr>
            <w:r>
              <w:rPr>
                <w:sz w:val="20"/>
              </w:rPr>
              <w:t>Низак</w:t>
            </w:r>
            <w:r>
              <w:rPr>
                <w:spacing w:val="40"/>
                <w:sz w:val="20"/>
              </w:rPr>
              <w:t> </w:t>
            </w:r>
            <w:r>
              <w:rPr>
                <w:sz w:val="20"/>
              </w:rPr>
              <w:t>ниво</w:t>
            </w:r>
            <w:r>
              <w:rPr>
                <w:spacing w:val="40"/>
                <w:sz w:val="20"/>
              </w:rPr>
              <w:t> </w:t>
            </w:r>
            <w:r>
              <w:rPr>
                <w:sz w:val="20"/>
              </w:rPr>
              <w:t>укупне</w:t>
            </w:r>
            <w:r>
              <w:rPr>
                <w:spacing w:val="40"/>
                <w:sz w:val="20"/>
              </w:rPr>
              <w:t> </w:t>
            </w:r>
            <w:r>
              <w:rPr>
                <w:sz w:val="20"/>
              </w:rPr>
              <w:t>запослености</w:t>
            </w:r>
            <w:r>
              <w:rPr>
                <w:spacing w:val="40"/>
                <w:sz w:val="20"/>
              </w:rPr>
              <w:t> </w:t>
            </w:r>
            <w:r>
              <w:rPr>
                <w:sz w:val="20"/>
              </w:rPr>
              <w:t>и</w:t>
            </w:r>
            <w:r>
              <w:rPr>
                <w:spacing w:val="40"/>
                <w:sz w:val="20"/>
              </w:rPr>
              <w:t> </w:t>
            </w:r>
            <w:r>
              <w:rPr>
                <w:sz w:val="20"/>
              </w:rPr>
              <w:t>спора</w:t>
            </w:r>
            <w:r>
              <w:rPr>
                <w:spacing w:val="40"/>
                <w:sz w:val="20"/>
              </w:rPr>
              <w:t> </w:t>
            </w:r>
            <w:r>
              <w:rPr>
                <w:sz w:val="20"/>
              </w:rPr>
              <w:t>динамика отварања квалитетних радних места.</w:t>
            </w:r>
          </w:p>
        </w:tc>
        <w:tc>
          <w:tcPr>
            <w:tcW w:w="4047" w:type="dxa"/>
            <w:tcBorders>
              <w:top w:val="single" w:sz="6" w:space="0" w:color="000000"/>
              <w:left w:val="single" w:sz="6" w:space="0" w:color="000000"/>
            </w:tcBorders>
          </w:tcPr>
          <w:p>
            <w:pPr>
              <w:pStyle w:val="TableParagraph"/>
              <w:spacing w:line="224" w:lineRule="exact"/>
              <w:ind w:left="99"/>
              <w:rPr>
                <w:sz w:val="20"/>
              </w:rPr>
            </w:pPr>
            <w:r>
              <w:rPr>
                <w:sz w:val="20"/>
              </w:rPr>
              <w:t>Успостављен</w:t>
            </w:r>
            <w:r>
              <w:rPr>
                <w:spacing w:val="33"/>
                <w:sz w:val="20"/>
              </w:rPr>
              <w:t>  </w:t>
            </w:r>
            <w:r>
              <w:rPr>
                <w:sz w:val="20"/>
              </w:rPr>
              <w:t>стабилан</w:t>
            </w:r>
            <w:r>
              <w:rPr>
                <w:spacing w:val="33"/>
                <w:sz w:val="20"/>
              </w:rPr>
              <w:t>  </w:t>
            </w:r>
            <w:r>
              <w:rPr>
                <w:sz w:val="20"/>
              </w:rPr>
              <w:t>и</w:t>
            </w:r>
            <w:r>
              <w:rPr>
                <w:spacing w:val="34"/>
                <w:sz w:val="20"/>
              </w:rPr>
              <w:t>  </w:t>
            </w:r>
            <w:r>
              <w:rPr>
                <w:sz w:val="20"/>
              </w:rPr>
              <w:t>одрживи</w:t>
            </w:r>
            <w:r>
              <w:rPr>
                <w:spacing w:val="33"/>
                <w:sz w:val="20"/>
              </w:rPr>
              <w:t>  </w:t>
            </w:r>
            <w:r>
              <w:rPr>
                <w:spacing w:val="-4"/>
                <w:sz w:val="20"/>
              </w:rPr>
              <w:t>раст</w:t>
            </w:r>
          </w:p>
          <w:p>
            <w:pPr>
              <w:pStyle w:val="TableParagraph"/>
              <w:spacing w:line="230" w:lineRule="atLeast"/>
              <w:ind w:left="99" w:right="67"/>
              <w:rPr>
                <w:sz w:val="20"/>
              </w:rPr>
            </w:pPr>
            <w:r>
              <w:rPr>
                <w:sz w:val="20"/>
              </w:rPr>
              <w:t>запослености</w:t>
            </w:r>
            <w:r>
              <w:rPr>
                <w:spacing w:val="-11"/>
                <w:sz w:val="20"/>
              </w:rPr>
              <w:t> </w:t>
            </w:r>
            <w:r>
              <w:rPr>
                <w:sz w:val="20"/>
              </w:rPr>
              <w:t>заснован</w:t>
            </w:r>
            <w:r>
              <w:rPr>
                <w:spacing w:val="-10"/>
                <w:sz w:val="20"/>
              </w:rPr>
              <w:t> </w:t>
            </w:r>
            <w:r>
              <w:rPr>
                <w:sz w:val="20"/>
              </w:rPr>
              <w:t>на</w:t>
            </w:r>
            <w:r>
              <w:rPr>
                <w:spacing w:val="-11"/>
                <w:sz w:val="20"/>
              </w:rPr>
              <w:t> </w:t>
            </w:r>
            <w:r>
              <w:rPr>
                <w:sz w:val="20"/>
              </w:rPr>
              <w:t>људском</w:t>
            </w:r>
            <w:r>
              <w:rPr>
                <w:spacing w:val="-10"/>
                <w:sz w:val="20"/>
              </w:rPr>
              <w:t> </w:t>
            </w:r>
            <w:r>
              <w:rPr>
                <w:sz w:val="20"/>
              </w:rPr>
              <w:t>капиталу и достојанственом раду</w:t>
            </w:r>
          </w:p>
        </w:tc>
      </w:tr>
      <w:tr>
        <w:trPr>
          <w:trHeight w:val="1149" w:hRule="atLeast"/>
        </w:trPr>
        <w:tc>
          <w:tcPr>
            <w:tcW w:w="1167" w:type="dxa"/>
            <w:tcBorders>
              <w:right w:val="single" w:sz="6" w:space="0" w:color="000000"/>
            </w:tcBorders>
          </w:tcPr>
          <w:p>
            <w:pPr>
              <w:pStyle w:val="TableParagraph"/>
              <w:ind w:right="137"/>
              <w:jc w:val="center"/>
              <w:rPr>
                <w:b/>
                <w:sz w:val="20"/>
              </w:rPr>
            </w:pPr>
            <w:r>
              <w:rPr>
                <w:b/>
                <w:spacing w:val="-2"/>
                <w:sz w:val="20"/>
              </w:rPr>
              <w:t>Проблем</w:t>
            </w:r>
          </w:p>
        </w:tc>
        <w:tc>
          <w:tcPr>
            <w:tcW w:w="4960" w:type="dxa"/>
            <w:tcBorders>
              <w:left w:val="single" w:sz="6" w:space="0" w:color="000000"/>
              <w:right w:val="single" w:sz="6" w:space="0" w:color="000000"/>
            </w:tcBorders>
          </w:tcPr>
          <w:p>
            <w:pPr>
              <w:pStyle w:val="TableParagraph"/>
              <w:ind w:left="100" w:right="99"/>
              <w:jc w:val="both"/>
              <w:rPr>
                <w:sz w:val="20"/>
              </w:rPr>
            </w:pPr>
            <w:r>
              <w:rPr>
                <w:sz w:val="20"/>
              </w:rPr>
              <w:t>Недовољно ефективна координација политике запошљавања са другим секторским политикама - не постоје</w:t>
            </w:r>
            <w:r>
              <w:rPr>
                <w:spacing w:val="57"/>
                <w:w w:val="150"/>
                <w:sz w:val="20"/>
              </w:rPr>
              <w:t> </w:t>
            </w:r>
            <w:r>
              <w:rPr>
                <w:sz w:val="20"/>
              </w:rPr>
              <w:t>формални</w:t>
            </w:r>
            <w:r>
              <w:rPr>
                <w:spacing w:val="57"/>
                <w:w w:val="150"/>
                <w:sz w:val="20"/>
              </w:rPr>
              <w:t> </w:t>
            </w:r>
            <w:r>
              <w:rPr>
                <w:sz w:val="20"/>
              </w:rPr>
              <w:t>механизми</w:t>
            </w:r>
            <w:r>
              <w:rPr>
                <w:spacing w:val="56"/>
                <w:w w:val="150"/>
                <w:sz w:val="20"/>
              </w:rPr>
              <w:t> </w:t>
            </w:r>
            <w:r>
              <w:rPr>
                <w:sz w:val="20"/>
              </w:rPr>
              <w:t>координације</w:t>
            </w:r>
            <w:r>
              <w:rPr>
                <w:spacing w:val="58"/>
                <w:w w:val="150"/>
                <w:sz w:val="20"/>
              </w:rPr>
              <w:t> </w:t>
            </w:r>
            <w:r>
              <w:rPr>
                <w:spacing w:val="-2"/>
                <w:sz w:val="20"/>
              </w:rPr>
              <w:t>између</w:t>
            </w:r>
          </w:p>
          <w:p>
            <w:pPr>
              <w:pStyle w:val="TableParagraph"/>
              <w:spacing w:line="230" w:lineRule="exact"/>
              <w:ind w:left="100" w:right="101"/>
              <w:jc w:val="both"/>
              <w:rPr>
                <w:sz w:val="20"/>
              </w:rPr>
            </w:pPr>
            <w:r>
              <w:rPr>
                <w:sz w:val="20"/>
              </w:rPr>
              <w:t>МРЗБСП</w:t>
            </w:r>
            <w:r>
              <w:rPr>
                <w:spacing w:val="-1"/>
                <w:sz w:val="20"/>
              </w:rPr>
              <w:t> </w:t>
            </w:r>
            <w:r>
              <w:rPr>
                <w:sz w:val="20"/>
              </w:rPr>
              <w:t>и</w:t>
            </w:r>
            <w:r>
              <w:rPr>
                <w:spacing w:val="-3"/>
                <w:sz w:val="20"/>
              </w:rPr>
              <w:t> </w:t>
            </w:r>
            <w:r>
              <w:rPr>
                <w:sz w:val="20"/>
              </w:rPr>
              <w:t>осталих</w:t>
            </w:r>
            <w:r>
              <w:rPr>
                <w:spacing w:val="-3"/>
                <w:sz w:val="20"/>
              </w:rPr>
              <w:t> </w:t>
            </w:r>
            <w:r>
              <w:rPr>
                <w:sz w:val="20"/>
              </w:rPr>
              <w:t>министарстава</w:t>
            </w:r>
            <w:r>
              <w:rPr>
                <w:spacing w:val="-1"/>
                <w:sz w:val="20"/>
              </w:rPr>
              <w:t> </w:t>
            </w:r>
            <w:r>
              <w:rPr>
                <w:sz w:val="20"/>
              </w:rPr>
              <w:t>(МПТНР,</w:t>
            </w:r>
            <w:r>
              <w:rPr>
                <w:spacing w:val="-1"/>
                <w:sz w:val="20"/>
              </w:rPr>
              <w:t> </w:t>
            </w:r>
            <w:r>
              <w:rPr>
                <w:sz w:val="20"/>
              </w:rPr>
              <w:t>МП,</w:t>
            </w:r>
            <w:r>
              <w:rPr>
                <w:spacing w:val="-1"/>
                <w:sz w:val="20"/>
              </w:rPr>
              <w:t> </w:t>
            </w:r>
            <w:r>
              <w:rPr>
                <w:sz w:val="20"/>
              </w:rPr>
              <w:t>МФ) на нивоу доносиоца одлука.</w:t>
            </w:r>
          </w:p>
        </w:tc>
        <w:tc>
          <w:tcPr>
            <w:tcW w:w="4047" w:type="dxa"/>
            <w:tcBorders>
              <w:left w:val="single" w:sz="6" w:space="0" w:color="000000"/>
            </w:tcBorders>
          </w:tcPr>
          <w:p>
            <w:pPr>
              <w:pStyle w:val="TableParagraph"/>
              <w:ind w:left="99" w:right="111"/>
              <w:jc w:val="both"/>
              <w:rPr>
                <w:sz w:val="20"/>
              </w:rPr>
            </w:pPr>
            <w:r>
              <w:rPr>
                <w:sz w:val="20"/>
              </w:rPr>
              <w:t>Остварен раст инклузивне и квалитетне запослености кроз координацију политике запошљавања са другим секторским </w:t>
            </w:r>
            <w:r>
              <w:rPr>
                <w:spacing w:val="-2"/>
                <w:sz w:val="20"/>
              </w:rPr>
              <w:t>политикама</w:t>
            </w:r>
          </w:p>
        </w:tc>
      </w:tr>
      <w:tr>
        <w:trPr>
          <w:trHeight w:val="690" w:hRule="atLeast"/>
        </w:trPr>
        <w:tc>
          <w:tcPr>
            <w:tcW w:w="1167" w:type="dxa"/>
            <w:tcBorders>
              <w:right w:val="single" w:sz="6" w:space="0" w:color="000000"/>
            </w:tcBorders>
          </w:tcPr>
          <w:p>
            <w:pPr>
              <w:pStyle w:val="TableParagraph"/>
              <w:ind w:left="107"/>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ind w:left="100"/>
              <w:rPr>
                <w:sz w:val="20"/>
              </w:rPr>
            </w:pPr>
            <w:r>
              <w:rPr>
                <w:sz w:val="20"/>
              </w:rPr>
              <w:t>Захтеви</w:t>
            </w:r>
            <w:r>
              <w:rPr>
                <w:spacing w:val="-13"/>
                <w:sz w:val="20"/>
              </w:rPr>
              <w:t> </w:t>
            </w:r>
            <w:r>
              <w:rPr>
                <w:sz w:val="20"/>
              </w:rPr>
              <w:t>тржишта</w:t>
            </w:r>
            <w:r>
              <w:rPr>
                <w:spacing w:val="-12"/>
                <w:sz w:val="20"/>
              </w:rPr>
              <w:t> </w:t>
            </w:r>
            <w:r>
              <w:rPr>
                <w:sz w:val="20"/>
              </w:rPr>
              <w:t>рада</w:t>
            </w:r>
            <w:r>
              <w:rPr>
                <w:spacing w:val="-13"/>
                <w:sz w:val="20"/>
              </w:rPr>
              <w:t> </w:t>
            </w:r>
            <w:r>
              <w:rPr>
                <w:sz w:val="20"/>
              </w:rPr>
              <w:t>се</w:t>
            </w:r>
            <w:r>
              <w:rPr>
                <w:spacing w:val="-12"/>
                <w:sz w:val="20"/>
              </w:rPr>
              <w:t> </w:t>
            </w:r>
            <w:r>
              <w:rPr>
                <w:sz w:val="20"/>
              </w:rPr>
              <w:t>убрзано</w:t>
            </w:r>
            <w:r>
              <w:rPr>
                <w:spacing w:val="-13"/>
                <w:sz w:val="20"/>
              </w:rPr>
              <w:t> </w:t>
            </w:r>
            <w:r>
              <w:rPr>
                <w:sz w:val="20"/>
              </w:rPr>
              <w:t>мењају</w:t>
            </w:r>
            <w:r>
              <w:rPr>
                <w:spacing w:val="-13"/>
                <w:sz w:val="20"/>
              </w:rPr>
              <w:t> </w:t>
            </w:r>
            <w:r>
              <w:rPr>
                <w:sz w:val="20"/>
              </w:rPr>
              <w:t>што</w:t>
            </w:r>
            <w:r>
              <w:rPr>
                <w:spacing w:val="-12"/>
                <w:sz w:val="20"/>
              </w:rPr>
              <w:t> </w:t>
            </w:r>
            <w:r>
              <w:rPr>
                <w:sz w:val="20"/>
              </w:rPr>
              <w:t>доводи</w:t>
            </w:r>
            <w:r>
              <w:rPr>
                <w:spacing w:val="-13"/>
                <w:sz w:val="20"/>
              </w:rPr>
              <w:t> </w:t>
            </w:r>
            <w:r>
              <w:rPr>
                <w:sz w:val="20"/>
              </w:rPr>
              <w:t>до неусклађености</w:t>
            </w:r>
            <w:r>
              <w:rPr>
                <w:spacing w:val="12"/>
                <w:sz w:val="20"/>
              </w:rPr>
              <w:t> </w:t>
            </w:r>
            <w:r>
              <w:rPr>
                <w:sz w:val="20"/>
              </w:rPr>
              <w:t>знања,</w:t>
            </w:r>
            <w:r>
              <w:rPr>
                <w:spacing w:val="14"/>
                <w:sz w:val="20"/>
              </w:rPr>
              <w:t> </w:t>
            </w:r>
            <w:r>
              <w:rPr>
                <w:sz w:val="20"/>
              </w:rPr>
              <w:t>вештина</w:t>
            </w:r>
            <w:r>
              <w:rPr>
                <w:spacing w:val="14"/>
                <w:sz w:val="20"/>
              </w:rPr>
              <w:t> </w:t>
            </w:r>
            <w:r>
              <w:rPr>
                <w:sz w:val="20"/>
              </w:rPr>
              <w:t>и</w:t>
            </w:r>
            <w:r>
              <w:rPr>
                <w:spacing w:val="12"/>
                <w:sz w:val="20"/>
              </w:rPr>
              <w:t> </w:t>
            </w:r>
            <w:r>
              <w:rPr>
                <w:sz w:val="20"/>
              </w:rPr>
              <w:t>компетенција</w:t>
            </w:r>
            <w:r>
              <w:rPr>
                <w:spacing w:val="15"/>
                <w:sz w:val="20"/>
              </w:rPr>
              <w:t> </w:t>
            </w:r>
            <w:r>
              <w:rPr>
                <w:spacing w:val="-4"/>
                <w:sz w:val="20"/>
              </w:rPr>
              <w:t>радне</w:t>
            </w:r>
          </w:p>
          <w:p>
            <w:pPr>
              <w:pStyle w:val="TableParagraph"/>
              <w:spacing w:line="214" w:lineRule="exact"/>
              <w:ind w:left="100"/>
              <w:rPr>
                <w:sz w:val="20"/>
              </w:rPr>
            </w:pPr>
            <w:r>
              <w:rPr>
                <w:spacing w:val="-2"/>
                <w:sz w:val="20"/>
              </w:rPr>
              <w:t>снаге.</w:t>
            </w:r>
          </w:p>
        </w:tc>
        <w:tc>
          <w:tcPr>
            <w:tcW w:w="4047" w:type="dxa"/>
            <w:tcBorders>
              <w:left w:val="single" w:sz="6" w:space="0" w:color="000000"/>
            </w:tcBorders>
          </w:tcPr>
          <w:p>
            <w:pPr>
              <w:pStyle w:val="TableParagraph"/>
              <w:spacing w:line="225" w:lineRule="exact"/>
              <w:ind w:left="99"/>
              <w:rPr>
                <w:sz w:val="20"/>
              </w:rPr>
            </w:pPr>
            <w:r>
              <w:rPr>
                <w:sz w:val="20"/>
              </w:rPr>
              <w:t>Унапређење</w:t>
            </w:r>
            <w:r>
              <w:rPr>
                <w:spacing w:val="-6"/>
                <w:sz w:val="20"/>
              </w:rPr>
              <w:t> </w:t>
            </w:r>
            <w:r>
              <w:rPr>
                <w:sz w:val="20"/>
              </w:rPr>
              <w:t>квалитета</w:t>
            </w:r>
            <w:r>
              <w:rPr>
                <w:spacing w:val="-7"/>
                <w:sz w:val="20"/>
              </w:rPr>
              <w:t> </w:t>
            </w:r>
            <w:r>
              <w:rPr>
                <w:sz w:val="20"/>
              </w:rPr>
              <w:t>радне</w:t>
            </w:r>
            <w:r>
              <w:rPr>
                <w:spacing w:val="-8"/>
                <w:sz w:val="20"/>
              </w:rPr>
              <w:t> </w:t>
            </w:r>
            <w:r>
              <w:rPr>
                <w:spacing w:val="-2"/>
                <w:sz w:val="20"/>
              </w:rPr>
              <w:t>снаге</w:t>
            </w:r>
          </w:p>
        </w:tc>
      </w:tr>
      <w:tr>
        <w:trPr>
          <w:trHeight w:val="920" w:hRule="atLeast"/>
        </w:trPr>
        <w:tc>
          <w:tcPr>
            <w:tcW w:w="1167" w:type="dxa"/>
            <w:tcBorders>
              <w:right w:val="single" w:sz="6" w:space="0" w:color="000000"/>
            </w:tcBorders>
          </w:tcPr>
          <w:p>
            <w:pPr>
              <w:pStyle w:val="TableParagraph"/>
              <w:ind w:left="107"/>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ind w:left="100" w:right="98"/>
              <w:jc w:val="both"/>
              <w:rPr>
                <w:sz w:val="20"/>
              </w:rPr>
            </w:pPr>
            <w:r>
              <w:rPr>
                <w:sz w:val="20"/>
              </w:rPr>
              <w:t>Високо пореско оптерећење зарада доводи до неисплативости рада. Увођење концепта флексигурности</w:t>
            </w:r>
            <w:r>
              <w:rPr>
                <w:spacing w:val="38"/>
                <w:sz w:val="20"/>
              </w:rPr>
              <w:t>  </w:t>
            </w:r>
            <w:r>
              <w:rPr>
                <w:sz w:val="20"/>
              </w:rPr>
              <w:t>на</w:t>
            </w:r>
            <w:r>
              <w:rPr>
                <w:spacing w:val="38"/>
                <w:sz w:val="20"/>
              </w:rPr>
              <w:t>  </w:t>
            </w:r>
            <w:r>
              <w:rPr>
                <w:sz w:val="20"/>
              </w:rPr>
              <w:t>тржиште</w:t>
            </w:r>
            <w:r>
              <w:rPr>
                <w:spacing w:val="38"/>
                <w:sz w:val="20"/>
              </w:rPr>
              <w:t>  </w:t>
            </w:r>
            <w:r>
              <w:rPr>
                <w:sz w:val="20"/>
              </w:rPr>
              <w:t>рада</w:t>
            </w:r>
            <w:r>
              <w:rPr>
                <w:spacing w:val="38"/>
                <w:sz w:val="20"/>
              </w:rPr>
              <w:t>  </w:t>
            </w:r>
            <w:r>
              <w:rPr>
                <w:sz w:val="20"/>
              </w:rPr>
              <w:t>довело</w:t>
            </w:r>
            <w:r>
              <w:rPr>
                <w:spacing w:val="39"/>
                <w:sz w:val="20"/>
              </w:rPr>
              <w:t>  </w:t>
            </w:r>
            <w:r>
              <w:rPr>
                <w:sz w:val="20"/>
              </w:rPr>
              <w:t>је</w:t>
            </w:r>
            <w:r>
              <w:rPr>
                <w:spacing w:val="38"/>
                <w:sz w:val="20"/>
              </w:rPr>
              <w:t>  </w:t>
            </w:r>
            <w:r>
              <w:rPr>
                <w:spacing w:val="-5"/>
                <w:sz w:val="20"/>
              </w:rPr>
              <w:t>до</w:t>
            </w:r>
          </w:p>
          <w:p>
            <w:pPr>
              <w:pStyle w:val="TableParagraph"/>
              <w:spacing w:line="215" w:lineRule="exact"/>
              <w:ind w:left="100"/>
              <w:jc w:val="both"/>
              <w:rPr>
                <w:sz w:val="20"/>
              </w:rPr>
            </w:pPr>
            <w:r>
              <w:rPr>
                <w:sz w:val="20"/>
              </w:rPr>
              <w:t>урушавања</w:t>
            </w:r>
            <w:r>
              <w:rPr>
                <w:spacing w:val="-10"/>
                <w:sz w:val="20"/>
              </w:rPr>
              <w:t> </w:t>
            </w:r>
            <w:r>
              <w:rPr>
                <w:sz w:val="20"/>
              </w:rPr>
              <w:t>квалитета</w:t>
            </w:r>
            <w:r>
              <w:rPr>
                <w:spacing w:val="-10"/>
                <w:sz w:val="20"/>
              </w:rPr>
              <w:t> </w:t>
            </w:r>
            <w:r>
              <w:rPr>
                <w:spacing w:val="-2"/>
                <w:sz w:val="20"/>
              </w:rPr>
              <w:t>запослености.</w:t>
            </w:r>
          </w:p>
        </w:tc>
        <w:tc>
          <w:tcPr>
            <w:tcW w:w="4047" w:type="dxa"/>
            <w:tcBorders>
              <w:left w:val="single" w:sz="6" w:space="0" w:color="000000"/>
            </w:tcBorders>
          </w:tcPr>
          <w:p>
            <w:pPr>
              <w:pStyle w:val="TableParagraph"/>
              <w:spacing w:line="224" w:lineRule="exact"/>
              <w:ind w:left="99"/>
              <w:rPr>
                <w:sz w:val="20"/>
              </w:rPr>
            </w:pPr>
            <w:r>
              <w:rPr>
                <w:sz w:val="20"/>
              </w:rPr>
              <w:t>Повећање</w:t>
            </w:r>
            <w:r>
              <w:rPr>
                <w:spacing w:val="-6"/>
                <w:sz w:val="20"/>
              </w:rPr>
              <w:t> </w:t>
            </w:r>
            <w:r>
              <w:rPr>
                <w:sz w:val="20"/>
              </w:rPr>
              <w:t>исплативости</w:t>
            </w:r>
            <w:r>
              <w:rPr>
                <w:spacing w:val="-9"/>
                <w:sz w:val="20"/>
              </w:rPr>
              <w:t> </w:t>
            </w:r>
            <w:r>
              <w:rPr>
                <w:sz w:val="20"/>
              </w:rPr>
              <w:t>и</w:t>
            </w:r>
            <w:r>
              <w:rPr>
                <w:spacing w:val="-7"/>
                <w:sz w:val="20"/>
              </w:rPr>
              <w:t> </w:t>
            </w:r>
            <w:r>
              <w:rPr>
                <w:sz w:val="20"/>
              </w:rPr>
              <w:t>квалитета</w:t>
            </w:r>
            <w:r>
              <w:rPr>
                <w:spacing w:val="-8"/>
                <w:sz w:val="20"/>
              </w:rPr>
              <w:t> </w:t>
            </w:r>
            <w:r>
              <w:rPr>
                <w:spacing w:val="-4"/>
                <w:sz w:val="20"/>
              </w:rPr>
              <w:t>рада</w:t>
            </w:r>
          </w:p>
        </w:tc>
      </w:tr>
      <w:tr>
        <w:trPr>
          <w:trHeight w:val="1976" w:hRule="atLeast"/>
        </w:trPr>
        <w:tc>
          <w:tcPr>
            <w:tcW w:w="1167" w:type="dxa"/>
            <w:tcBorders>
              <w:right w:val="single" w:sz="6" w:space="0" w:color="000000"/>
            </w:tcBorders>
          </w:tcPr>
          <w:p>
            <w:pPr>
              <w:pStyle w:val="TableParagraph"/>
              <w:ind w:left="107"/>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spacing w:line="259" w:lineRule="auto"/>
              <w:ind w:left="100" w:right="32"/>
              <w:rPr>
                <w:sz w:val="20"/>
              </w:rPr>
            </w:pPr>
            <w:r>
              <w:rPr>
                <w:sz w:val="20"/>
              </w:rPr>
              <w:t>Недовољна међусекторска сарадња, посебно ресора привреде,</w:t>
            </w:r>
            <w:r>
              <w:rPr>
                <w:spacing w:val="-8"/>
                <w:sz w:val="20"/>
              </w:rPr>
              <w:t> </w:t>
            </w:r>
            <w:r>
              <w:rPr>
                <w:sz w:val="20"/>
              </w:rPr>
              <w:t>запошљавања</w:t>
            </w:r>
            <w:r>
              <w:rPr>
                <w:spacing w:val="-6"/>
                <w:sz w:val="20"/>
              </w:rPr>
              <w:t> </w:t>
            </w:r>
            <w:r>
              <w:rPr>
                <w:sz w:val="20"/>
              </w:rPr>
              <w:t>и</w:t>
            </w:r>
            <w:r>
              <w:rPr>
                <w:spacing w:val="-10"/>
                <w:sz w:val="20"/>
              </w:rPr>
              <w:t> </w:t>
            </w:r>
            <w:r>
              <w:rPr>
                <w:sz w:val="20"/>
              </w:rPr>
              <w:t>образовања</w:t>
            </w:r>
            <w:r>
              <w:rPr>
                <w:spacing w:val="-7"/>
                <w:sz w:val="20"/>
              </w:rPr>
              <w:t> </w:t>
            </w:r>
            <w:r>
              <w:rPr>
                <w:sz w:val="20"/>
              </w:rPr>
              <w:t>у</w:t>
            </w:r>
            <w:r>
              <w:rPr>
                <w:spacing w:val="-12"/>
                <w:sz w:val="20"/>
              </w:rPr>
              <w:t> </w:t>
            </w:r>
            <w:r>
              <w:rPr>
                <w:sz w:val="20"/>
              </w:rPr>
              <w:t>предузимању мера и инервенција ради усклађивања понуде и потражње на тржишту рада. Запосленост у делатностима из домена дигиталних технологија недовољно заступљена. Недовољан обухват микро, малих и средњих предузећа и предузетника мерама</w:t>
            </w:r>
          </w:p>
          <w:p>
            <w:pPr>
              <w:pStyle w:val="TableParagraph"/>
              <w:spacing w:line="222" w:lineRule="exact"/>
              <w:ind w:left="100"/>
              <w:rPr>
                <w:sz w:val="20"/>
              </w:rPr>
            </w:pPr>
            <w:r>
              <w:rPr>
                <w:sz w:val="20"/>
              </w:rPr>
              <w:t>подршке</w:t>
            </w:r>
            <w:r>
              <w:rPr>
                <w:spacing w:val="-8"/>
                <w:sz w:val="20"/>
              </w:rPr>
              <w:t> </w:t>
            </w:r>
            <w:r>
              <w:rPr>
                <w:sz w:val="20"/>
              </w:rPr>
              <w:t>развоју</w:t>
            </w:r>
            <w:r>
              <w:rPr>
                <w:spacing w:val="-9"/>
                <w:sz w:val="20"/>
              </w:rPr>
              <w:t> </w:t>
            </w:r>
            <w:r>
              <w:rPr>
                <w:spacing w:val="-2"/>
                <w:sz w:val="20"/>
              </w:rPr>
              <w:t>делатности.</w:t>
            </w:r>
          </w:p>
        </w:tc>
        <w:tc>
          <w:tcPr>
            <w:tcW w:w="4047" w:type="dxa"/>
            <w:tcBorders>
              <w:left w:val="single" w:sz="6" w:space="0" w:color="000000"/>
            </w:tcBorders>
          </w:tcPr>
          <w:p>
            <w:pPr>
              <w:pStyle w:val="TableParagraph"/>
              <w:spacing w:line="226" w:lineRule="exact"/>
              <w:ind w:left="99"/>
              <w:rPr>
                <w:sz w:val="20"/>
              </w:rPr>
            </w:pPr>
            <w:r>
              <w:rPr>
                <w:sz w:val="20"/>
              </w:rPr>
              <w:t>Креирање</w:t>
            </w:r>
            <w:r>
              <w:rPr>
                <w:spacing w:val="-10"/>
                <w:sz w:val="20"/>
              </w:rPr>
              <w:t> </w:t>
            </w:r>
            <w:r>
              <w:rPr>
                <w:spacing w:val="-2"/>
                <w:sz w:val="20"/>
              </w:rPr>
              <w:t>послова</w:t>
            </w:r>
          </w:p>
        </w:tc>
      </w:tr>
      <w:tr>
        <w:trPr>
          <w:trHeight w:val="1849" w:hRule="atLeast"/>
        </w:trPr>
        <w:tc>
          <w:tcPr>
            <w:tcW w:w="1167" w:type="dxa"/>
            <w:tcBorders>
              <w:right w:val="single" w:sz="6" w:space="0" w:color="000000"/>
            </w:tcBorders>
          </w:tcPr>
          <w:p>
            <w:pPr>
              <w:pStyle w:val="TableParagraph"/>
              <w:spacing w:before="9"/>
              <w:ind w:left="107"/>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spacing w:before="4"/>
              <w:ind w:left="100" w:right="99"/>
              <w:jc w:val="both"/>
              <w:rPr>
                <w:sz w:val="20"/>
              </w:rPr>
            </w:pPr>
            <w:r>
              <w:rPr>
                <w:sz w:val="20"/>
              </w:rPr>
              <w:t>Приступ оснаживању рањивих и маргинализованих друштвених група није осмишљен на начин који би омогућио</w:t>
            </w:r>
            <w:r>
              <w:rPr>
                <w:spacing w:val="-2"/>
                <w:sz w:val="20"/>
              </w:rPr>
              <w:t> </w:t>
            </w:r>
            <w:r>
              <w:rPr>
                <w:sz w:val="20"/>
              </w:rPr>
              <w:t>имплементацију</w:t>
            </w:r>
            <w:r>
              <w:rPr>
                <w:spacing w:val="-1"/>
                <w:sz w:val="20"/>
              </w:rPr>
              <w:t> </w:t>
            </w:r>
            <w:r>
              <w:rPr>
                <w:sz w:val="20"/>
              </w:rPr>
              <w:t>политика које</w:t>
            </w:r>
            <w:r>
              <w:rPr>
                <w:spacing w:val="-2"/>
                <w:sz w:val="20"/>
              </w:rPr>
              <w:t> </w:t>
            </w:r>
            <w:r>
              <w:rPr>
                <w:sz w:val="20"/>
              </w:rPr>
              <w:t>би</w:t>
            </w:r>
            <w:r>
              <w:rPr>
                <w:spacing w:val="-4"/>
                <w:sz w:val="20"/>
              </w:rPr>
              <w:t> </w:t>
            </w:r>
            <w:r>
              <w:rPr>
                <w:sz w:val="20"/>
              </w:rPr>
              <w:t>требало</w:t>
            </w:r>
            <w:r>
              <w:rPr>
                <w:spacing w:val="-2"/>
                <w:sz w:val="20"/>
              </w:rPr>
              <w:t> </w:t>
            </w:r>
            <w:r>
              <w:rPr>
                <w:sz w:val="20"/>
              </w:rPr>
              <w:t>да унапреде њихова знања, вештине и компетенције и припреми их да као активни појединци учествују на тржишту</w:t>
            </w:r>
            <w:r>
              <w:rPr>
                <w:spacing w:val="-13"/>
                <w:sz w:val="20"/>
              </w:rPr>
              <w:t> </w:t>
            </w:r>
            <w:r>
              <w:rPr>
                <w:sz w:val="20"/>
              </w:rPr>
              <w:t>рада</w:t>
            </w:r>
            <w:r>
              <w:rPr>
                <w:spacing w:val="-10"/>
                <w:sz w:val="20"/>
              </w:rPr>
              <w:t> </w:t>
            </w:r>
            <w:r>
              <w:rPr>
                <w:sz w:val="20"/>
              </w:rPr>
              <w:t>и</w:t>
            </w:r>
            <w:r>
              <w:rPr>
                <w:spacing w:val="-10"/>
                <w:sz w:val="20"/>
              </w:rPr>
              <w:t> </w:t>
            </w:r>
            <w:r>
              <w:rPr>
                <w:sz w:val="20"/>
              </w:rPr>
              <w:t>у</w:t>
            </w:r>
            <w:r>
              <w:rPr>
                <w:spacing w:val="-11"/>
                <w:sz w:val="20"/>
              </w:rPr>
              <w:t> </w:t>
            </w:r>
            <w:r>
              <w:rPr>
                <w:sz w:val="20"/>
              </w:rPr>
              <w:t>друштвеном</w:t>
            </w:r>
            <w:r>
              <w:rPr>
                <w:spacing w:val="-10"/>
                <w:sz w:val="20"/>
              </w:rPr>
              <w:t> </w:t>
            </w:r>
            <w:r>
              <w:rPr>
                <w:sz w:val="20"/>
              </w:rPr>
              <w:t>животу.</w:t>
            </w:r>
            <w:r>
              <w:rPr>
                <w:spacing w:val="-10"/>
                <w:sz w:val="20"/>
              </w:rPr>
              <w:t> </w:t>
            </w:r>
            <w:r>
              <w:rPr>
                <w:sz w:val="20"/>
              </w:rPr>
              <w:t>То</w:t>
            </w:r>
            <w:r>
              <w:rPr>
                <w:spacing w:val="-10"/>
                <w:sz w:val="20"/>
              </w:rPr>
              <w:t> </w:t>
            </w:r>
            <w:r>
              <w:rPr>
                <w:sz w:val="20"/>
              </w:rPr>
              <w:t>за</w:t>
            </w:r>
            <w:r>
              <w:rPr>
                <w:spacing w:val="-11"/>
                <w:sz w:val="20"/>
              </w:rPr>
              <w:t> </w:t>
            </w:r>
            <w:r>
              <w:rPr>
                <w:sz w:val="20"/>
              </w:rPr>
              <w:t>последицу има</w:t>
            </w:r>
            <w:r>
              <w:rPr>
                <w:spacing w:val="78"/>
                <w:sz w:val="20"/>
              </w:rPr>
              <w:t> </w:t>
            </w:r>
            <w:r>
              <w:rPr>
                <w:sz w:val="20"/>
              </w:rPr>
              <w:t>да</w:t>
            </w:r>
            <w:r>
              <w:rPr>
                <w:spacing w:val="78"/>
                <w:sz w:val="20"/>
              </w:rPr>
              <w:t> </w:t>
            </w:r>
            <w:r>
              <w:rPr>
                <w:sz w:val="20"/>
              </w:rPr>
              <w:t>корисници</w:t>
            </w:r>
            <w:r>
              <w:rPr>
                <w:spacing w:val="79"/>
                <w:sz w:val="20"/>
              </w:rPr>
              <w:t> </w:t>
            </w:r>
            <w:r>
              <w:rPr>
                <w:sz w:val="20"/>
              </w:rPr>
              <w:t>услуга</w:t>
            </w:r>
            <w:r>
              <w:rPr>
                <w:spacing w:val="56"/>
                <w:w w:val="150"/>
                <w:sz w:val="20"/>
              </w:rPr>
              <w:t> </w:t>
            </w:r>
            <w:r>
              <w:rPr>
                <w:sz w:val="20"/>
              </w:rPr>
              <w:t>социјалне</w:t>
            </w:r>
            <w:r>
              <w:rPr>
                <w:spacing w:val="79"/>
                <w:sz w:val="20"/>
              </w:rPr>
              <w:t> </w:t>
            </w:r>
            <w:r>
              <w:rPr>
                <w:sz w:val="20"/>
              </w:rPr>
              <w:t>заштите</w:t>
            </w:r>
            <w:r>
              <w:rPr>
                <w:spacing w:val="78"/>
                <w:sz w:val="20"/>
              </w:rPr>
              <w:t> </w:t>
            </w:r>
            <w:r>
              <w:rPr>
                <w:spacing w:val="-4"/>
                <w:sz w:val="20"/>
              </w:rPr>
              <w:t>нису</w:t>
            </w:r>
          </w:p>
          <w:p>
            <w:pPr>
              <w:pStyle w:val="TableParagraph"/>
              <w:spacing w:line="215" w:lineRule="exact" w:before="1"/>
              <w:ind w:left="100"/>
              <w:jc w:val="both"/>
              <w:rPr>
                <w:sz w:val="20"/>
              </w:rPr>
            </w:pPr>
            <w:r>
              <w:rPr>
                <w:sz w:val="20"/>
              </w:rPr>
              <w:t>интегрисани</w:t>
            </w:r>
            <w:r>
              <w:rPr>
                <w:spacing w:val="-8"/>
                <w:sz w:val="20"/>
              </w:rPr>
              <w:t> </w:t>
            </w:r>
            <w:r>
              <w:rPr>
                <w:sz w:val="20"/>
              </w:rPr>
              <w:t>на</w:t>
            </w:r>
            <w:r>
              <w:rPr>
                <w:spacing w:val="-9"/>
                <w:sz w:val="20"/>
              </w:rPr>
              <w:t> </w:t>
            </w:r>
            <w:r>
              <w:rPr>
                <w:sz w:val="20"/>
              </w:rPr>
              <w:t>тржиште</w:t>
            </w:r>
            <w:r>
              <w:rPr>
                <w:spacing w:val="-9"/>
                <w:sz w:val="20"/>
              </w:rPr>
              <w:t> </w:t>
            </w:r>
            <w:r>
              <w:rPr>
                <w:spacing w:val="-2"/>
                <w:sz w:val="20"/>
              </w:rPr>
              <w:t>рада.</w:t>
            </w:r>
          </w:p>
        </w:tc>
        <w:tc>
          <w:tcPr>
            <w:tcW w:w="4047" w:type="dxa"/>
            <w:tcBorders>
              <w:left w:val="single" w:sz="6" w:space="0" w:color="000000"/>
            </w:tcBorders>
          </w:tcPr>
          <w:p>
            <w:pPr>
              <w:pStyle w:val="TableParagraph"/>
              <w:spacing w:before="4"/>
              <w:ind w:left="99"/>
              <w:rPr>
                <w:sz w:val="20"/>
              </w:rPr>
            </w:pPr>
            <w:r>
              <w:rPr>
                <w:sz w:val="20"/>
              </w:rPr>
              <w:t>Интегрисање</w:t>
            </w:r>
            <w:r>
              <w:rPr>
                <w:spacing w:val="40"/>
                <w:sz w:val="20"/>
              </w:rPr>
              <w:t> </w:t>
            </w:r>
            <w:r>
              <w:rPr>
                <w:sz w:val="20"/>
              </w:rPr>
              <w:t>корисника</w:t>
            </w:r>
            <w:r>
              <w:rPr>
                <w:spacing w:val="74"/>
                <w:sz w:val="20"/>
              </w:rPr>
              <w:t> </w:t>
            </w:r>
            <w:r>
              <w:rPr>
                <w:sz w:val="20"/>
              </w:rPr>
              <w:t>услуга</w:t>
            </w:r>
            <w:r>
              <w:rPr>
                <w:spacing w:val="40"/>
                <w:sz w:val="20"/>
              </w:rPr>
              <w:t> </w:t>
            </w:r>
            <w:r>
              <w:rPr>
                <w:sz w:val="20"/>
              </w:rPr>
              <w:t>социјалне заштите на тржиште рада</w:t>
            </w:r>
          </w:p>
        </w:tc>
      </w:tr>
      <w:tr>
        <w:trPr>
          <w:trHeight w:val="1310" w:hRule="atLeast"/>
        </w:trPr>
        <w:tc>
          <w:tcPr>
            <w:tcW w:w="1167" w:type="dxa"/>
            <w:tcBorders>
              <w:right w:val="single" w:sz="6" w:space="0" w:color="000000"/>
            </w:tcBorders>
          </w:tcPr>
          <w:p>
            <w:pPr>
              <w:pStyle w:val="TableParagraph"/>
              <w:ind w:left="107"/>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ind w:left="100" w:right="102"/>
              <w:jc w:val="both"/>
              <w:rPr>
                <w:sz w:val="20"/>
              </w:rPr>
            </w:pPr>
            <w:r>
              <w:rPr>
                <w:sz w:val="20"/>
              </w:rPr>
              <w:t>Слаби</w:t>
            </w:r>
            <w:r>
              <w:rPr>
                <w:spacing w:val="-1"/>
                <w:sz w:val="20"/>
              </w:rPr>
              <w:t> </w:t>
            </w:r>
            <w:r>
              <w:rPr>
                <w:sz w:val="20"/>
              </w:rPr>
              <w:t>капацитети</w:t>
            </w:r>
            <w:r>
              <w:rPr>
                <w:spacing w:val="-1"/>
                <w:sz w:val="20"/>
              </w:rPr>
              <w:t> </w:t>
            </w:r>
            <w:r>
              <w:rPr>
                <w:sz w:val="20"/>
              </w:rPr>
              <w:t>на нивоу</w:t>
            </w:r>
            <w:r>
              <w:rPr>
                <w:spacing w:val="-1"/>
                <w:sz w:val="20"/>
              </w:rPr>
              <w:t> </w:t>
            </w:r>
            <w:r>
              <w:rPr>
                <w:sz w:val="20"/>
              </w:rPr>
              <w:t>ЈЛС</w:t>
            </w:r>
            <w:r>
              <w:rPr>
                <w:spacing w:val="-3"/>
                <w:sz w:val="20"/>
              </w:rPr>
              <w:t> </w:t>
            </w:r>
            <w:r>
              <w:rPr>
                <w:sz w:val="20"/>
              </w:rPr>
              <w:t>су</w:t>
            </w:r>
            <w:r>
              <w:rPr>
                <w:spacing w:val="-3"/>
                <w:sz w:val="20"/>
              </w:rPr>
              <w:t> </w:t>
            </w:r>
            <w:r>
              <w:rPr>
                <w:sz w:val="20"/>
              </w:rPr>
              <w:t>препрека да</w:t>
            </w:r>
            <w:r>
              <w:rPr>
                <w:spacing w:val="-2"/>
                <w:sz w:val="20"/>
              </w:rPr>
              <w:t> </w:t>
            </w:r>
            <w:r>
              <w:rPr>
                <w:sz w:val="20"/>
              </w:rPr>
              <w:t>се</w:t>
            </w:r>
            <w:r>
              <w:rPr>
                <w:spacing w:val="-1"/>
                <w:sz w:val="20"/>
              </w:rPr>
              <w:t> </w:t>
            </w:r>
            <w:r>
              <w:rPr>
                <w:sz w:val="20"/>
              </w:rPr>
              <w:t>раде квалитетне анализе локалног тржишта рада што се рефлектује</w:t>
            </w:r>
            <w:r>
              <w:rPr>
                <w:spacing w:val="-6"/>
                <w:sz w:val="20"/>
              </w:rPr>
              <w:t> </w:t>
            </w:r>
            <w:r>
              <w:rPr>
                <w:sz w:val="20"/>
              </w:rPr>
              <w:t>и</w:t>
            </w:r>
            <w:r>
              <w:rPr>
                <w:spacing w:val="-7"/>
                <w:sz w:val="20"/>
              </w:rPr>
              <w:t> </w:t>
            </w:r>
            <w:r>
              <w:rPr>
                <w:sz w:val="20"/>
              </w:rPr>
              <w:t>на</w:t>
            </w:r>
            <w:r>
              <w:rPr>
                <w:spacing w:val="-8"/>
                <w:sz w:val="20"/>
              </w:rPr>
              <w:t> </w:t>
            </w:r>
            <w:r>
              <w:rPr>
                <w:sz w:val="20"/>
              </w:rPr>
              <w:t>квалитет</w:t>
            </w:r>
            <w:r>
              <w:rPr>
                <w:spacing w:val="-9"/>
                <w:sz w:val="20"/>
              </w:rPr>
              <w:t> </w:t>
            </w:r>
            <w:r>
              <w:rPr>
                <w:sz w:val="20"/>
              </w:rPr>
              <w:t>ЛАПЗ.</w:t>
            </w:r>
            <w:r>
              <w:rPr>
                <w:spacing w:val="-8"/>
                <w:sz w:val="20"/>
              </w:rPr>
              <w:t> </w:t>
            </w:r>
            <w:r>
              <w:rPr>
                <w:sz w:val="20"/>
              </w:rPr>
              <w:t>Неопходно</w:t>
            </w:r>
            <w:r>
              <w:rPr>
                <w:spacing w:val="-7"/>
                <w:sz w:val="20"/>
              </w:rPr>
              <w:t> </w:t>
            </w:r>
            <w:r>
              <w:rPr>
                <w:sz w:val="20"/>
              </w:rPr>
              <w:t>је</w:t>
            </w:r>
            <w:r>
              <w:rPr>
                <w:spacing w:val="-8"/>
                <w:sz w:val="20"/>
              </w:rPr>
              <w:t> </w:t>
            </w:r>
            <w:r>
              <w:rPr>
                <w:sz w:val="20"/>
              </w:rPr>
              <w:t>пружити већу подршку и механизме ЈЛС за иновативне моделе за запошљавање.</w:t>
            </w:r>
          </w:p>
        </w:tc>
        <w:tc>
          <w:tcPr>
            <w:tcW w:w="4047" w:type="dxa"/>
            <w:tcBorders>
              <w:left w:val="single" w:sz="6" w:space="0" w:color="000000"/>
            </w:tcBorders>
          </w:tcPr>
          <w:p>
            <w:pPr>
              <w:pStyle w:val="TableParagraph"/>
              <w:spacing w:line="226" w:lineRule="exact"/>
              <w:ind w:left="99"/>
              <w:rPr>
                <w:sz w:val="20"/>
              </w:rPr>
            </w:pPr>
            <w:r>
              <w:rPr>
                <w:sz w:val="20"/>
              </w:rPr>
              <w:t>Јачање</w:t>
            </w:r>
            <w:r>
              <w:rPr>
                <w:spacing w:val="-10"/>
                <w:sz w:val="20"/>
              </w:rPr>
              <w:t> </w:t>
            </w:r>
            <w:r>
              <w:rPr>
                <w:sz w:val="20"/>
              </w:rPr>
              <w:t>локалне</w:t>
            </w:r>
            <w:r>
              <w:rPr>
                <w:spacing w:val="-6"/>
                <w:sz w:val="20"/>
              </w:rPr>
              <w:t> </w:t>
            </w:r>
            <w:r>
              <w:rPr>
                <w:sz w:val="20"/>
              </w:rPr>
              <w:t>политике</w:t>
            </w:r>
            <w:r>
              <w:rPr>
                <w:spacing w:val="-9"/>
                <w:sz w:val="20"/>
              </w:rPr>
              <w:t> </w:t>
            </w:r>
            <w:r>
              <w:rPr>
                <w:spacing w:val="-2"/>
                <w:sz w:val="20"/>
              </w:rPr>
              <w:t>запошљавања</w:t>
            </w:r>
          </w:p>
        </w:tc>
      </w:tr>
    </w:tbl>
    <w:p>
      <w:pPr>
        <w:pStyle w:val="BodyText"/>
        <w:spacing w:before="15"/>
        <w:ind w:left="0"/>
        <w:jc w:val="left"/>
        <w:rPr>
          <w:sz w:val="20"/>
        </w:rPr>
      </w:pPr>
      <w:r>
        <w:rPr>
          <w:sz w:val="20"/>
        </w:rPr>
        <mc:AlternateContent>
          <mc:Choice Requires="wps">
            <w:drawing>
              <wp:anchor distT="0" distB="0" distL="0" distR="0" allowOverlap="1" layoutInCell="1" locked="0" behindDoc="1" simplePos="0" relativeHeight="487598080">
                <wp:simplePos x="0" y="0"/>
                <wp:positionH relativeFrom="page">
                  <wp:posOffset>914704</wp:posOffset>
                </wp:positionH>
                <wp:positionV relativeFrom="paragraph">
                  <wp:posOffset>170942</wp:posOffset>
                </wp:positionV>
                <wp:extent cx="1829435"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46003pt;width:144.020pt;height:.71997pt;mso-position-horizontal-relative:page;mso-position-vertical-relative:paragraph;z-index:-15718400;mso-wrap-distance-left:0;mso-wrap-distance-right:0" id="docshape23" filled="true" fillcolor="#000000" stroked="false">
                <v:fill type="solid"/>
                <w10:wrap type="topAndBottom"/>
              </v:rect>
            </w:pict>
          </mc:Fallback>
        </mc:AlternateContent>
      </w:r>
    </w:p>
    <w:p>
      <w:pPr>
        <w:spacing w:before="115"/>
        <w:ind w:left="360" w:right="0" w:firstLine="0"/>
        <w:jc w:val="left"/>
        <w:rPr>
          <w:sz w:val="18"/>
        </w:rPr>
      </w:pPr>
      <w:r>
        <w:rPr>
          <w:sz w:val="18"/>
          <w:vertAlign w:val="superscript"/>
        </w:rPr>
        <w:t>33</w:t>
      </w:r>
      <w:r>
        <w:rPr>
          <w:spacing w:val="3"/>
          <w:sz w:val="18"/>
          <w:vertAlign w:val="baseline"/>
        </w:rPr>
        <w:t> </w:t>
      </w:r>
      <w:r>
        <w:rPr>
          <w:sz w:val="18"/>
          <w:vertAlign w:val="baseline"/>
        </w:rPr>
        <w:t>Анализа</w:t>
      </w:r>
      <w:r>
        <w:rPr>
          <w:spacing w:val="-3"/>
          <w:sz w:val="18"/>
          <w:vertAlign w:val="baseline"/>
        </w:rPr>
        <w:t> </w:t>
      </w:r>
      <w:r>
        <w:rPr>
          <w:sz w:val="18"/>
          <w:vertAlign w:val="baseline"/>
        </w:rPr>
        <w:t>програма</w:t>
      </w:r>
      <w:r>
        <w:rPr>
          <w:spacing w:val="-2"/>
          <w:sz w:val="18"/>
          <w:vertAlign w:val="baseline"/>
        </w:rPr>
        <w:t> </w:t>
      </w:r>
      <w:r>
        <w:rPr>
          <w:sz w:val="18"/>
          <w:vertAlign w:val="baseline"/>
        </w:rPr>
        <w:t>стручне</w:t>
      </w:r>
      <w:r>
        <w:rPr>
          <w:spacing w:val="-2"/>
          <w:sz w:val="18"/>
          <w:vertAlign w:val="baseline"/>
        </w:rPr>
        <w:t> </w:t>
      </w:r>
      <w:r>
        <w:rPr>
          <w:sz w:val="18"/>
          <w:vertAlign w:val="baseline"/>
        </w:rPr>
        <w:t>праксе,</w:t>
      </w:r>
      <w:r>
        <w:rPr>
          <w:spacing w:val="-2"/>
          <w:sz w:val="18"/>
          <w:vertAlign w:val="baseline"/>
        </w:rPr>
        <w:t> </w:t>
      </w:r>
      <w:r>
        <w:rPr>
          <w:sz w:val="18"/>
          <w:vertAlign w:val="baseline"/>
        </w:rPr>
        <w:t>Институт</w:t>
      </w:r>
      <w:r>
        <w:rPr>
          <w:spacing w:val="-1"/>
          <w:sz w:val="18"/>
          <w:vertAlign w:val="baseline"/>
        </w:rPr>
        <w:t> </w:t>
      </w:r>
      <w:r>
        <w:rPr>
          <w:sz w:val="18"/>
          <w:vertAlign w:val="baseline"/>
        </w:rPr>
        <w:t>економских</w:t>
      </w:r>
      <w:r>
        <w:rPr>
          <w:spacing w:val="-3"/>
          <w:sz w:val="18"/>
          <w:vertAlign w:val="baseline"/>
        </w:rPr>
        <w:t> </w:t>
      </w:r>
      <w:r>
        <w:rPr>
          <w:sz w:val="18"/>
          <w:vertAlign w:val="baseline"/>
        </w:rPr>
        <w:t>наука</w:t>
      </w:r>
      <w:r>
        <w:rPr>
          <w:spacing w:val="-2"/>
          <w:sz w:val="18"/>
          <w:vertAlign w:val="baseline"/>
        </w:rPr>
        <w:t> (2020.)</w:t>
      </w:r>
    </w:p>
    <w:p>
      <w:pPr>
        <w:spacing w:before="7"/>
        <w:ind w:left="360" w:right="1022" w:firstLine="0"/>
        <w:jc w:val="left"/>
        <w:rPr>
          <w:sz w:val="18"/>
        </w:rPr>
      </w:pPr>
      <w:r>
        <w:rPr>
          <w:sz w:val="18"/>
        </w:rPr>
        <w:t>Преглед</w:t>
      </w:r>
      <w:r>
        <w:rPr>
          <w:spacing w:val="-3"/>
          <w:sz w:val="18"/>
        </w:rPr>
        <w:t> </w:t>
      </w:r>
      <w:r>
        <w:rPr>
          <w:sz w:val="18"/>
        </w:rPr>
        <w:t>организације</w:t>
      </w:r>
      <w:r>
        <w:rPr>
          <w:spacing w:val="-3"/>
          <w:sz w:val="18"/>
        </w:rPr>
        <w:t> </w:t>
      </w:r>
      <w:r>
        <w:rPr>
          <w:sz w:val="18"/>
        </w:rPr>
        <w:t>Одсека</w:t>
      </w:r>
      <w:r>
        <w:rPr>
          <w:spacing w:val="-4"/>
          <w:sz w:val="18"/>
        </w:rPr>
        <w:t> </w:t>
      </w:r>
      <w:r>
        <w:rPr>
          <w:sz w:val="18"/>
        </w:rPr>
        <w:t>за</w:t>
      </w:r>
      <w:r>
        <w:rPr>
          <w:spacing w:val="-4"/>
          <w:sz w:val="18"/>
        </w:rPr>
        <w:t> </w:t>
      </w:r>
      <w:r>
        <w:rPr>
          <w:sz w:val="18"/>
        </w:rPr>
        <w:t>активну</w:t>
      </w:r>
      <w:r>
        <w:rPr>
          <w:spacing w:val="-4"/>
          <w:sz w:val="18"/>
        </w:rPr>
        <w:t> </w:t>
      </w:r>
      <w:r>
        <w:rPr>
          <w:sz w:val="18"/>
        </w:rPr>
        <w:t>политику</w:t>
      </w:r>
      <w:r>
        <w:rPr>
          <w:spacing w:val="-7"/>
          <w:sz w:val="18"/>
        </w:rPr>
        <w:t> </w:t>
      </w:r>
      <w:r>
        <w:rPr>
          <w:sz w:val="18"/>
        </w:rPr>
        <w:t>запошљавања</w:t>
      </w:r>
      <w:r>
        <w:rPr>
          <w:spacing w:val="-4"/>
          <w:sz w:val="18"/>
        </w:rPr>
        <w:t> </w:t>
      </w:r>
      <w:r>
        <w:rPr>
          <w:sz w:val="18"/>
        </w:rPr>
        <w:t>Министарства</w:t>
      </w:r>
      <w:r>
        <w:rPr>
          <w:spacing w:val="-4"/>
          <w:sz w:val="18"/>
        </w:rPr>
        <w:t> </w:t>
      </w:r>
      <w:r>
        <w:rPr>
          <w:sz w:val="18"/>
        </w:rPr>
        <w:t>за</w:t>
      </w:r>
      <w:r>
        <w:rPr>
          <w:spacing w:val="-4"/>
          <w:sz w:val="18"/>
        </w:rPr>
        <w:t> </w:t>
      </w:r>
      <w:r>
        <w:rPr>
          <w:sz w:val="18"/>
        </w:rPr>
        <w:t>рад,</w:t>
      </w:r>
      <w:r>
        <w:rPr>
          <w:spacing w:val="-3"/>
          <w:sz w:val="18"/>
        </w:rPr>
        <w:t> </w:t>
      </w:r>
      <w:r>
        <w:rPr>
          <w:sz w:val="18"/>
        </w:rPr>
        <w:t>запошљавање,</w:t>
      </w:r>
      <w:r>
        <w:rPr>
          <w:spacing w:val="-3"/>
          <w:sz w:val="18"/>
        </w:rPr>
        <w:t> </w:t>
      </w:r>
      <w:r>
        <w:rPr>
          <w:sz w:val="18"/>
        </w:rPr>
        <w:t>борачка</w:t>
      </w:r>
      <w:r>
        <w:rPr>
          <w:spacing w:val="-4"/>
          <w:sz w:val="18"/>
        </w:rPr>
        <w:t> </w:t>
      </w:r>
      <w:r>
        <w:rPr>
          <w:sz w:val="18"/>
        </w:rPr>
        <w:t>и социјална питања РС (МОР, децембар 2020.)</w:t>
      </w:r>
    </w:p>
    <w:p>
      <w:pPr>
        <w:spacing w:before="1"/>
        <w:ind w:left="360" w:right="1087" w:firstLine="0"/>
        <w:jc w:val="left"/>
        <w:rPr>
          <w:sz w:val="18"/>
        </w:rPr>
      </w:pPr>
      <w:r>
        <w:rPr>
          <w:sz w:val="18"/>
        </w:rPr>
        <w:t>Брза</w:t>
      </w:r>
      <w:r>
        <w:rPr>
          <w:spacing w:val="-4"/>
          <w:sz w:val="18"/>
        </w:rPr>
        <w:t> </w:t>
      </w:r>
      <w:r>
        <w:rPr>
          <w:sz w:val="18"/>
        </w:rPr>
        <w:t>процена</w:t>
      </w:r>
      <w:r>
        <w:rPr>
          <w:spacing w:val="-3"/>
          <w:sz w:val="18"/>
        </w:rPr>
        <w:t> </w:t>
      </w:r>
      <w:r>
        <w:rPr>
          <w:sz w:val="18"/>
        </w:rPr>
        <w:t>административних</w:t>
      </w:r>
      <w:r>
        <w:rPr>
          <w:spacing w:val="-4"/>
          <w:sz w:val="18"/>
        </w:rPr>
        <w:t> </w:t>
      </w:r>
      <w:r>
        <w:rPr>
          <w:sz w:val="18"/>
        </w:rPr>
        <w:t>капацитета</w:t>
      </w:r>
      <w:r>
        <w:rPr>
          <w:spacing w:val="-3"/>
          <w:sz w:val="18"/>
        </w:rPr>
        <w:t> </w:t>
      </w:r>
      <w:r>
        <w:rPr>
          <w:sz w:val="18"/>
        </w:rPr>
        <w:t>Националне</w:t>
      </w:r>
      <w:r>
        <w:rPr>
          <w:spacing w:val="-4"/>
          <w:sz w:val="18"/>
        </w:rPr>
        <w:t> </w:t>
      </w:r>
      <w:r>
        <w:rPr>
          <w:sz w:val="18"/>
        </w:rPr>
        <w:t>службе</w:t>
      </w:r>
      <w:r>
        <w:rPr>
          <w:spacing w:val="-4"/>
          <w:sz w:val="18"/>
        </w:rPr>
        <w:t> </w:t>
      </w:r>
      <w:r>
        <w:rPr>
          <w:sz w:val="18"/>
        </w:rPr>
        <w:t>за</w:t>
      </w:r>
      <w:r>
        <w:rPr>
          <w:spacing w:val="-4"/>
          <w:sz w:val="18"/>
        </w:rPr>
        <w:t> </w:t>
      </w:r>
      <w:r>
        <w:rPr>
          <w:sz w:val="18"/>
        </w:rPr>
        <w:t>запошљавање</w:t>
      </w:r>
      <w:r>
        <w:rPr>
          <w:spacing w:val="-4"/>
          <w:sz w:val="18"/>
        </w:rPr>
        <w:t> </w:t>
      </w:r>
      <w:r>
        <w:rPr>
          <w:sz w:val="18"/>
        </w:rPr>
        <w:t>РС</w:t>
      </w:r>
      <w:r>
        <w:rPr>
          <w:spacing w:val="-5"/>
          <w:sz w:val="18"/>
        </w:rPr>
        <w:t> </w:t>
      </w:r>
      <w:r>
        <w:rPr>
          <w:sz w:val="18"/>
        </w:rPr>
        <w:t>(МОР,</w:t>
      </w:r>
      <w:r>
        <w:rPr>
          <w:spacing w:val="-3"/>
          <w:sz w:val="18"/>
        </w:rPr>
        <w:t> </w:t>
      </w:r>
      <w:r>
        <w:rPr>
          <w:sz w:val="18"/>
        </w:rPr>
        <w:t>децембар</w:t>
      </w:r>
      <w:r>
        <w:rPr>
          <w:spacing w:val="-2"/>
          <w:sz w:val="18"/>
        </w:rPr>
        <w:t> </w:t>
      </w:r>
      <w:r>
        <w:rPr>
          <w:sz w:val="18"/>
        </w:rPr>
        <w:t>2020.) Увођење Гаранције за младе у Републици Србији, процена изводљивости, МОР (децембар 2020.)</w:t>
      </w:r>
    </w:p>
    <w:p>
      <w:pPr>
        <w:spacing w:after="0"/>
        <w:jc w:val="left"/>
        <w:rPr>
          <w:sz w:val="18"/>
        </w:rPr>
        <w:sectPr>
          <w:pgSz w:w="12240" w:h="15840"/>
          <w:pgMar w:header="0" w:footer="702" w:top="1360" w:bottom="900" w:left="1080" w:right="720"/>
        </w:sectPr>
      </w:pPr>
    </w:p>
    <w:tbl>
      <w:tblPr>
        <w:tblW w:w="0" w:type="auto"/>
        <w:jc w:val="lef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9"/>
        <w:gridCol w:w="4960"/>
        <w:gridCol w:w="3985"/>
      </w:tblGrid>
      <w:tr>
        <w:trPr>
          <w:trHeight w:val="2297" w:hRule="atLeast"/>
        </w:trPr>
        <w:tc>
          <w:tcPr>
            <w:tcW w:w="1109" w:type="dxa"/>
            <w:tcBorders>
              <w:right w:val="single" w:sz="6" w:space="0" w:color="000000"/>
            </w:tcBorders>
          </w:tcPr>
          <w:p>
            <w:pPr>
              <w:pStyle w:val="TableParagraph"/>
              <w:ind w:left="50" w:right="112"/>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ind w:left="100" w:right="100"/>
              <w:jc w:val="both"/>
              <w:rPr>
                <w:sz w:val="20"/>
              </w:rPr>
            </w:pPr>
            <w:r>
              <w:rPr>
                <w:sz w:val="20"/>
              </w:rPr>
              <w:t>Дијалог актера на тржишту рада није ефективан услед тога што је учешће јавности у креирању циљева и праћењу постигнутих ефеката јавних политика недовољно, а цивилни сектор се укључује тек у завршним фазама доношења јавне политике као додатни актер у пружању помоћи. Социјални дијалог, иако је остварен на високом нивоу, неопходно је и надаље</w:t>
            </w:r>
            <w:r>
              <w:rPr>
                <w:spacing w:val="50"/>
                <w:sz w:val="20"/>
              </w:rPr>
              <w:t> </w:t>
            </w:r>
            <w:r>
              <w:rPr>
                <w:sz w:val="20"/>
              </w:rPr>
              <w:t>развијати</w:t>
            </w:r>
            <w:r>
              <w:rPr>
                <w:spacing w:val="52"/>
                <w:sz w:val="20"/>
              </w:rPr>
              <w:t> </w:t>
            </w:r>
            <w:r>
              <w:rPr>
                <w:sz w:val="20"/>
              </w:rPr>
              <w:t>и</w:t>
            </w:r>
            <w:r>
              <w:rPr>
                <w:spacing w:val="50"/>
                <w:sz w:val="20"/>
              </w:rPr>
              <w:t> </w:t>
            </w:r>
            <w:r>
              <w:rPr>
                <w:sz w:val="20"/>
              </w:rPr>
              <w:t>јачати</w:t>
            </w:r>
            <w:r>
              <w:rPr>
                <w:spacing w:val="53"/>
                <w:sz w:val="20"/>
              </w:rPr>
              <w:t> </w:t>
            </w:r>
            <w:r>
              <w:rPr>
                <w:sz w:val="20"/>
              </w:rPr>
              <w:t>у</w:t>
            </w:r>
            <w:r>
              <w:rPr>
                <w:spacing w:val="47"/>
                <w:sz w:val="20"/>
              </w:rPr>
              <w:t> </w:t>
            </w:r>
            <w:r>
              <w:rPr>
                <w:sz w:val="20"/>
              </w:rPr>
              <w:t>складу</w:t>
            </w:r>
            <w:r>
              <w:rPr>
                <w:spacing w:val="50"/>
                <w:sz w:val="20"/>
              </w:rPr>
              <w:t> </w:t>
            </w:r>
            <w:r>
              <w:rPr>
                <w:sz w:val="20"/>
              </w:rPr>
              <w:t>са</w:t>
            </w:r>
            <w:r>
              <w:rPr>
                <w:spacing w:val="51"/>
                <w:sz w:val="20"/>
              </w:rPr>
              <w:t> </w:t>
            </w:r>
            <w:r>
              <w:rPr>
                <w:spacing w:val="-2"/>
                <w:sz w:val="20"/>
              </w:rPr>
              <w:t>стандардима</w:t>
            </w:r>
          </w:p>
          <w:p>
            <w:pPr>
              <w:pStyle w:val="TableParagraph"/>
              <w:spacing w:line="228" w:lineRule="exact"/>
              <w:ind w:left="100" w:right="105"/>
              <w:jc w:val="both"/>
              <w:rPr>
                <w:sz w:val="20"/>
              </w:rPr>
            </w:pPr>
            <w:r>
              <w:rPr>
                <w:sz w:val="20"/>
              </w:rPr>
              <w:t>релевантних међународних организација и политике кохезије која важи на нивоу ЕУ.</w:t>
            </w:r>
          </w:p>
        </w:tc>
        <w:tc>
          <w:tcPr>
            <w:tcW w:w="3985" w:type="dxa"/>
            <w:tcBorders>
              <w:left w:val="single" w:sz="6" w:space="0" w:color="000000"/>
            </w:tcBorders>
          </w:tcPr>
          <w:p>
            <w:pPr>
              <w:pStyle w:val="TableParagraph"/>
              <w:ind w:left="99"/>
              <w:rPr>
                <w:sz w:val="20"/>
              </w:rPr>
            </w:pPr>
            <w:r>
              <w:rPr>
                <w:sz w:val="20"/>
              </w:rPr>
              <w:t>Унапређење</w:t>
            </w:r>
            <w:r>
              <w:rPr>
                <w:spacing w:val="40"/>
                <w:sz w:val="20"/>
              </w:rPr>
              <w:t> </w:t>
            </w:r>
            <w:r>
              <w:rPr>
                <w:sz w:val="20"/>
              </w:rPr>
              <w:t>дијалога</w:t>
            </w:r>
            <w:r>
              <w:rPr>
                <w:spacing w:val="40"/>
                <w:sz w:val="20"/>
              </w:rPr>
              <w:t> </w:t>
            </w:r>
            <w:r>
              <w:rPr>
                <w:sz w:val="20"/>
              </w:rPr>
              <w:t>актера</w:t>
            </w:r>
            <w:r>
              <w:rPr>
                <w:spacing w:val="40"/>
                <w:sz w:val="20"/>
              </w:rPr>
              <w:t> </w:t>
            </w:r>
            <w:r>
              <w:rPr>
                <w:sz w:val="20"/>
              </w:rPr>
              <w:t>на</w:t>
            </w:r>
            <w:r>
              <w:rPr>
                <w:spacing w:val="40"/>
                <w:sz w:val="20"/>
              </w:rPr>
              <w:t> </w:t>
            </w:r>
            <w:r>
              <w:rPr>
                <w:sz w:val="20"/>
              </w:rPr>
              <w:t>тржишту </w:t>
            </w:r>
            <w:r>
              <w:rPr>
                <w:spacing w:val="-4"/>
                <w:sz w:val="20"/>
              </w:rPr>
              <w:t>рада</w:t>
            </w:r>
          </w:p>
        </w:tc>
      </w:tr>
      <w:tr>
        <w:trPr>
          <w:trHeight w:val="722" w:hRule="atLeast"/>
        </w:trPr>
        <w:tc>
          <w:tcPr>
            <w:tcW w:w="1109" w:type="dxa"/>
            <w:tcBorders>
              <w:right w:val="single" w:sz="6" w:space="0" w:color="000000"/>
            </w:tcBorders>
          </w:tcPr>
          <w:p>
            <w:pPr>
              <w:pStyle w:val="TableParagraph"/>
              <w:ind w:left="50"/>
              <w:rPr>
                <w:b/>
                <w:sz w:val="20"/>
              </w:rPr>
            </w:pPr>
            <w:r>
              <w:rPr>
                <w:b/>
                <w:spacing w:val="-2"/>
                <w:sz w:val="20"/>
              </w:rPr>
              <w:t>Проблем</w:t>
            </w:r>
          </w:p>
        </w:tc>
        <w:tc>
          <w:tcPr>
            <w:tcW w:w="4960" w:type="dxa"/>
            <w:tcBorders>
              <w:left w:val="single" w:sz="6" w:space="0" w:color="000000"/>
              <w:right w:val="single" w:sz="6" w:space="0" w:color="000000"/>
            </w:tcBorders>
          </w:tcPr>
          <w:p>
            <w:pPr>
              <w:pStyle w:val="TableParagraph"/>
              <w:ind w:left="100" w:right="103"/>
              <w:jc w:val="both"/>
              <w:rPr>
                <w:sz w:val="20"/>
              </w:rPr>
            </w:pPr>
            <w:r>
              <w:rPr>
                <w:sz w:val="20"/>
              </w:rPr>
              <w:t>Теже запошљиве категорије незапослених лица суочавају се са процесом отежане интеграције или реинтеграције на тржиште рада.</w:t>
            </w:r>
          </w:p>
        </w:tc>
        <w:tc>
          <w:tcPr>
            <w:tcW w:w="3985" w:type="dxa"/>
            <w:tcBorders>
              <w:left w:val="single" w:sz="6" w:space="0" w:color="000000"/>
            </w:tcBorders>
          </w:tcPr>
          <w:p>
            <w:pPr>
              <w:pStyle w:val="TableParagraph"/>
              <w:ind w:left="99" w:right="49"/>
              <w:jc w:val="both"/>
              <w:rPr>
                <w:sz w:val="20"/>
              </w:rPr>
            </w:pPr>
            <w:r>
              <w:rPr>
                <w:sz w:val="20"/>
              </w:rPr>
              <w:t>Унапређен положај теже запошљивих категорија незапослених лица на тржишту </w:t>
            </w:r>
            <w:r>
              <w:rPr>
                <w:spacing w:val="-4"/>
                <w:sz w:val="20"/>
              </w:rPr>
              <w:t>рада</w:t>
            </w:r>
          </w:p>
        </w:tc>
      </w:tr>
      <w:tr>
        <w:trPr>
          <w:trHeight w:val="1640" w:hRule="atLeast"/>
        </w:trPr>
        <w:tc>
          <w:tcPr>
            <w:tcW w:w="1109" w:type="dxa"/>
            <w:tcBorders>
              <w:right w:val="single" w:sz="6" w:space="0" w:color="000000"/>
            </w:tcBorders>
          </w:tcPr>
          <w:p>
            <w:pPr>
              <w:pStyle w:val="TableParagraph"/>
              <w:spacing w:before="32"/>
              <w:ind w:left="50" w:right="112"/>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spacing w:before="27"/>
              <w:ind w:left="100" w:right="97"/>
              <w:jc w:val="both"/>
              <w:rPr>
                <w:sz w:val="20"/>
              </w:rPr>
            </w:pPr>
            <w:r>
              <w:rPr>
                <w:sz w:val="20"/>
              </w:rPr>
              <w:t>Услед различитих личних (здравствено стање, недовољно или неодговарајуће образовање), социо- демографских карактеристика, регионалне или професионалне неусклађености понуде и потражње на </w:t>
            </w:r>
            <w:r>
              <w:rPr>
                <w:spacing w:val="-2"/>
                <w:sz w:val="20"/>
              </w:rPr>
              <w:t>тржишту</w:t>
            </w:r>
            <w:r>
              <w:rPr>
                <w:spacing w:val="-7"/>
                <w:sz w:val="20"/>
              </w:rPr>
              <w:t> </w:t>
            </w:r>
            <w:r>
              <w:rPr>
                <w:spacing w:val="-2"/>
                <w:sz w:val="20"/>
              </w:rPr>
              <w:t>рада, теже запошљива лица захтевају</w:t>
            </w:r>
            <w:r>
              <w:rPr>
                <w:spacing w:val="-7"/>
                <w:sz w:val="20"/>
              </w:rPr>
              <w:t> </w:t>
            </w:r>
            <w:r>
              <w:rPr>
                <w:spacing w:val="-2"/>
                <w:sz w:val="20"/>
              </w:rPr>
              <w:t>подршку </w:t>
            </w:r>
            <w:r>
              <w:rPr>
                <w:sz w:val="20"/>
              </w:rPr>
              <w:t>активне</w:t>
            </w:r>
            <w:r>
              <w:rPr>
                <w:spacing w:val="-4"/>
                <w:sz w:val="20"/>
              </w:rPr>
              <w:t> </w:t>
            </w:r>
            <w:r>
              <w:rPr>
                <w:sz w:val="20"/>
              </w:rPr>
              <w:t>политике</w:t>
            </w:r>
            <w:r>
              <w:rPr>
                <w:spacing w:val="-3"/>
                <w:sz w:val="20"/>
              </w:rPr>
              <w:t> </w:t>
            </w:r>
            <w:r>
              <w:rPr>
                <w:sz w:val="20"/>
              </w:rPr>
              <w:t>запошљавања</w:t>
            </w:r>
            <w:r>
              <w:rPr>
                <w:spacing w:val="-5"/>
                <w:sz w:val="20"/>
              </w:rPr>
              <w:t> </w:t>
            </w:r>
            <w:r>
              <w:rPr>
                <w:sz w:val="20"/>
              </w:rPr>
              <w:t>како</w:t>
            </w:r>
            <w:r>
              <w:rPr>
                <w:spacing w:val="-5"/>
                <w:sz w:val="20"/>
              </w:rPr>
              <w:t> </w:t>
            </w:r>
            <w:r>
              <w:rPr>
                <w:sz w:val="20"/>
              </w:rPr>
              <w:t>би</w:t>
            </w:r>
            <w:r>
              <w:rPr>
                <w:spacing w:val="-5"/>
                <w:sz w:val="20"/>
              </w:rPr>
              <w:t> </w:t>
            </w:r>
            <w:r>
              <w:rPr>
                <w:spacing w:val="-2"/>
                <w:sz w:val="20"/>
              </w:rPr>
              <w:t>конкурентније</w:t>
            </w:r>
          </w:p>
          <w:p>
            <w:pPr>
              <w:pStyle w:val="TableParagraph"/>
              <w:spacing w:line="214" w:lineRule="exact"/>
              <w:ind w:left="100"/>
              <w:jc w:val="both"/>
              <w:rPr>
                <w:sz w:val="20"/>
              </w:rPr>
            </w:pPr>
            <w:r>
              <w:rPr>
                <w:sz w:val="20"/>
              </w:rPr>
              <w:t>иступала</w:t>
            </w:r>
            <w:r>
              <w:rPr>
                <w:spacing w:val="-8"/>
                <w:sz w:val="20"/>
              </w:rPr>
              <w:t> </w:t>
            </w:r>
            <w:r>
              <w:rPr>
                <w:sz w:val="20"/>
              </w:rPr>
              <w:t>на</w:t>
            </w:r>
            <w:r>
              <w:rPr>
                <w:spacing w:val="-5"/>
                <w:sz w:val="20"/>
              </w:rPr>
              <w:t> </w:t>
            </w:r>
            <w:r>
              <w:rPr>
                <w:sz w:val="20"/>
              </w:rPr>
              <w:t>тржишту</w:t>
            </w:r>
            <w:r>
              <w:rPr>
                <w:spacing w:val="-11"/>
                <w:sz w:val="20"/>
              </w:rPr>
              <w:t> </w:t>
            </w:r>
            <w:r>
              <w:rPr>
                <w:spacing w:val="-4"/>
                <w:sz w:val="20"/>
              </w:rPr>
              <w:t>рада.</w:t>
            </w:r>
          </w:p>
        </w:tc>
        <w:tc>
          <w:tcPr>
            <w:tcW w:w="3985" w:type="dxa"/>
            <w:tcBorders>
              <w:left w:val="single" w:sz="6" w:space="0" w:color="000000"/>
            </w:tcBorders>
          </w:tcPr>
          <w:p>
            <w:pPr>
              <w:pStyle w:val="TableParagraph"/>
              <w:spacing w:before="27"/>
              <w:ind w:left="99" w:right="50"/>
              <w:jc w:val="both"/>
              <w:rPr>
                <w:sz w:val="20"/>
              </w:rPr>
            </w:pPr>
            <w:r>
              <w:rPr>
                <w:sz w:val="20"/>
              </w:rPr>
              <w:t>Креирање мера АПЗ у циљу повећања запошљивости и запошљавања теже запошљивих лица</w:t>
            </w:r>
          </w:p>
        </w:tc>
      </w:tr>
      <w:tr>
        <w:trPr>
          <w:trHeight w:val="1149" w:hRule="atLeast"/>
        </w:trPr>
        <w:tc>
          <w:tcPr>
            <w:tcW w:w="1109" w:type="dxa"/>
            <w:tcBorders>
              <w:right w:val="single" w:sz="6" w:space="0" w:color="000000"/>
            </w:tcBorders>
          </w:tcPr>
          <w:p>
            <w:pPr>
              <w:pStyle w:val="TableParagraph"/>
              <w:ind w:left="50" w:right="112"/>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ind w:left="100" w:right="100"/>
              <w:jc w:val="both"/>
              <w:rPr>
                <w:sz w:val="20"/>
              </w:rPr>
            </w:pPr>
            <w:r>
              <w:rPr>
                <w:sz w:val="20"/>
              </w:rPr>
              <w:t>Селекција за укључивање незапослених лица у мере АПЗ недовољно је ефикасна са аспекта правовременог препознавања лица чије запошљавање није могуће без овакве</w:t>
            </w:r>
            <w:r>
              <w:rPr>
                <w:spacing w:val="46"/>
                <w:sz w:val="20"/>
              </w:rPr>
              <w:t>  </w:t>
            </w:r>
            <w:r>
              <w:rPr>
                <w:sz w:val="20"/>
              </w:rPr>
              <w:t>подршке,</w:t>
            </w:r>
            <w:r>
              <w:rPr>
                <w:spacing w:val="47"/>
                <w:sz w:val="20"/>
              </w:rPr>
              <w:t>  </w:t>
            </w:r>
            <w:r>
              <w:rPr>
                <w:sz w:val="20"/>
              </w:rPr>
              <w:t>што</w:t>
            </w:r>
            <w:r>
              <w:rPr>
                <w:spacing w:val="47"/>
                <w:sz w:val="20"/>
              </w:rPr>
              <w:t>  </w:t>
            </w:r>
            <w:r>
              <w:rPr>
                <w:sz w:val="20"/>
              </w:rPr>
              <w:t>за</w:t>
            </w:r>
            <w:r>
              <w:rPr>
                <w:spacing w:val="46"/>
                <w:sz w:val="20"/>
              </w:rPr>
              <w:t>  </w:t>
            </w:r>
            <w:r>
              <w:rPr>
                <w:sz w:val="20"/>
              </w:rPr>
              <w:t>последицу</w:t>
            </w:r>
            <w:r>
              <w:rPr>
                <w:spacing w:val="46"/>
                <w:sz w:val="20"/>
              </w:rPr>
              <w:t>  </w:t>
            </w:r>
            <w:r>
              <w:rPr>
                <w:sz w:val="20"/>
              </w:rPr>
              <w:t>има</w:t>
            </w:r>
            <w:r>
              <w:rPr>
                <w:spacing w:val="47"/>
                <w:sz w:val="20"/>
              </w:rPr>
              <w:t>  </w:t>
            </w:r>
            <w:r>
              <w:rPr>
                <w:spacing w:val="-4"/>
                <w:sz w:val="20"/>
              </w:rPr>
              <w:t>мању</w:t>
            </w:r>
          </w:p>
          <w:p>
            <w:pPr>
              <w:pStyle w:val="TableParagraph"/>
              <w:spacing w:line="214" w:lineRule="exact"/>
              <w:ind w:left="100"/>
              <w:jc w:val="both"/>
              <w:rPr>
                <w:sz w:val="20"/>
              </w:rPr>
            </w:pPr>
            <w:r>
              <w:rPr>
                <w:sz w:val="20"/>
              </w:rPr>
              <w:t>ефикасност</w:t>
            </w:r>
            <w:r>
              <w:rPr>
                <w:spacing w:val="-10"/>
                <w:sz w:val="20"/>
              </w:rPr>
              <w:t> </w:t>
            </w:r>
            <w:r>
              <w:rPr>
                <w:sz w:val="20"/>
              </w:rPr>
              <w:t>и</w:t>
            </w:r>
            <w:r>
              <w:rPr>
                <w:spacing w:val="-8"/>
                <w:sz w:val="20"/>
              </w:rPr>
              <w:t> </w:t>
            </w:r>
            <w:r>
              <w:rPr>
                <w:sz w:val="20"/>
              </w:rPr>
              <w:t>исплативост</w:t>
            </w:r>
            <w:r>
              <w:rPr>
                <w:spacing w:val="-10"/>
                <w:sz w:val="20"/>
              </w:rPr>
              <w:t> </w:t>
            </w:r>
            <w:r>
              <w:rPr>
                <w:spacing w:val="-2"/>
                <w:sz w:val="20"/>
              </w:rPr>
              <w:t>мера.</w:t>
            </w:r>
          </w:p>
        </w:tc>
        <w:tc>
          <w:tcPr>
            <w:tcW w:w="3985" w:type="dxa"/>
            <w:tcBorders>
              <w:left w:val="single" w:sz="6" w:space="0" w:color="000000"/>
            </w:tcBorders>
          </w:tcPr>
          <w:p>
            <w:pPr>
              <w:pStyle w:val="TableParagraph"/>
              <w:spacing w:line="224" w:lineRule="exact"/>
              <w:ind w:left="99"/>
              <w:rPr>
                <w:sz w:val="20"/>
              </w:rPr>
            </w:pPr>
            <w:r>
              <w:rPr>
                <w:sz w:val="20"/>
              </w:rPr>
              <w:t>Унапређење</w:t>
            </w:r>
            <w:r>
              <w:rPr>
                <w:spacing w:val="-9"/>
                <w:sz w:val="20"/>
              </w:rPr>
              <w:t> </w:t>
            </w:r>
            <w:r>
              <w:rPr>
                <w:sz w:val="20"/>
              </w:rPr>
              <w:t>спровођења</w:t>
            </w:r>
            <w:r>
              <w:rPr>
                <w:spacing w:val="-8"/>
                <w:sz w:val="20"/>
              </w:rPr>
              <w:t> </w:t>
            </w:r>
            <w:r>
              <w:rPr>
                <w:sz w:val="20"/>
              </w:rPr>
              <w:t>мера</w:t>
            </w:r>
            <w:r>
              <w:rPr>
                <w:spacing w:val="-5"/>
                <w:sz w:val="20"/>
              </w:rPr>
              <w:t> АПЗ</w:t>
            </w:r>
          </w:p>
        </w:tc>
      </w:tr>
      <w:tr>
        <w:trPr>
          <w:trHeight w:val="1151" w:hRule="atLeast"/>
        </w:trPr>
        <w:tc>
          <w:tcPr>
            <w:tcW w:w="1109" w:type="dxa"/>
            <w:tcBorders>
              <w:right w:val="single" w:sz="6" w:space="0" w:color="000000"/>
            </w:tcBorders>
          </w:tcPr>
          <w:p>
            <w:pPr>
              <w:pStyle w:val="TableParagraph"/>
              <w:ind w:left="50" w:right="112"/>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ind w:left="100" w:right="102"/>
              <w:jc w:val="both"/>
              <w:rPr>
                <w:sz w:val="20"/>
              </w:rPr>
            </w:pPr>
            <w:r>
              <w:rPr>
                <w:sz w:val="20"/>
              </w:rPr>
              <w:t>Недостатак утврђене методологије за праћење и вредновање, као и обучених кадрова за њихово спровођење,</w:t>
            </w:r>
            <w:r>
              <w:rPr>
                <w:spacing w:val="16"/>
                <w:sz w:val="20"/>
              </w:rPr>
              <w:t> </w:t>
            </w:r>
            <w:r>
              <w:rPr>
                <w:sz w:val="20"/>
              </w:rPr>
              <w:t>доводи</w:t>
            </w:r>
            <w:r>
              <w:rPr>
                <w:spacing w:val="15"/>
                <w:sz w:val="20"/>
              </w:rPr>
              <w:t> </w:t>
            </w:r>
            <w:r>
              <w:rPr>
                <w:sz w:val="20"/>
              </w:rPr>
              <w:t>до</w:t>
            </w:r>
            <w:r>
              <w:rPr>
                <w:spacing w:val="17"/>
                <w:sz w:val="20"/>
              </w:rPr>
              <w:t> </w:t>
            </w:r>
            <w:r>
              <w:rPr>
                <w:sz w:val="20"/>
              </w:rPr>
              <w:t>тога</w:t>
            </w:r>
            <w:r>
              <w:rPr>
                <w:spacing w:val="17"/>
                <w:sz w:val="20"/>
              </w:rPr>
              <w:t> </w:t>
            </w:r>
            <w:r>
              <w:rPr>
                <w:sz w:val="20"/>
              </w:rPr>
              <w:t>да</w:t>
            </w:r>
            <w:r>
              <w:rPr>
                <w:spacing w:val="16"/>
                <w:sz w:val="20"/>
              </w:rPr>
              <w:t> </w:t>
            </w:r>
            <w:r>
              <w:rPr>
                <w:sz w:val="20"/>
              </w:rPr>
              <w:t>праћење</w:t>
            </w:r>
            <w:r>
              <w:rPr>
                <w:spacing w:val="17"/>
                <w:sz w:val="20"/>
              </w:rPr>
              <w:t> </w:t>
            </w:r>
            <w:r>
              <w:rPr>
                <w:sz w:val="20"/>
              </w:rPr>
              <w:t>и</w:t>
            </w:r>
            <w:r>
              <w:rPr>
                <w:spacing w:val="15"/>
                <w:sz w:val="20"/>
              </w:rPr>
              <w:t> </w:t>
            </w:r>
            <w:r>
              <w:rPr>
                <w:spacing w:val="-2"/>
                <w:sz w:val="20"/>
              </w:rPr>
              <w:t>вредновање</w:t>
            </w:r>
          </w:p>
          <w:p>
            <w:pPr>
              <w:pStyle w:val="TableParagraph"/>
              <w:spacing w:line="230" w:lineRule="atLeast"/>
              <w:ind w:left="100" w:right="102"/>
              <w:jc w:val="both"/>
              <w:rPr>
                <w:sz w:val="20"/>
              </w:rPr>
            </w:pPr>
            <w:r>
              <w:rPr>
                <w:sz w:val="20"/>
              </w:rPr>
              <w:t>исхода</w:t>
            </w:r>
            <w:r>
              <w:rPr>
                <w:spacing w:val="-12"/>
                <w:sz w:val="20"/>
              </w:rPr>
              <w:t> </w:t>
            </w:r>
            <w:r>
              <w:rPr>
                <w:sz w:val="20"/>
              </w:rPr>
              <w:t>и</w:t>
            </w:r>
            <w:r>
              <w:rPr>
                <w:spacing w:val="-12"/>
                <w:sz w:val="20"/>
              </w:rPr>
              <w:t> </w:t>
            </w:r>
            <w:r>
              <w:rPr>
                <w:sz w:val="20"/>
              </w:rPr>
              <w:t>утицаја</w:t>
            </w:r>
            <w:r>
              <w:rPr>
                <w:spacing w:val="-12"/>
                <w:sz w:val="20"/>
              </w:rPr>
              <w:t> </w:t>
            </w:r>
            <w:r>
              <w:rPr>
                <w:sz w:val="20"/>
              </w:rPr>
              <w:t>мера</w:t>
            </w:r>
            <w:r>
              <w:rPr>
                <w:spacing w:val="-13"/>
                <w:sz w:val="20"/>
              </w:rPr>
              <w:t> </w:t>
            </w:r>
            <w:r>
              <w:rPr>
                <w:sz w:val="20"/>
              </w:rPr>
              <w:t>АПЗ</w:t>
            </w:r>
            <w:r>
              <w:rPr>
                <w:spacing w:val="-12"/>
                <w:sz w:val="20"/>
              </w:rPr>
              <w:t> </w:t>
            </w:r>
            <w:r>
              <w:rPr>
                <w:sz w:val="20"/>
              </w:rPr>
              <w:t>није</w:t>
            </w:r>
            <w:r>
              <w:rPr>
                <w:spacing w:val="-13"/>
                <w:sz w:val="20"/>
              </w:rPr>
              <w:t> </w:t>
            </w:r>
            <w:r>
              <w:rPr>
                <w:sz w:val="20"/>
              </w:rPr>
              <w:t>довољно</w:t>
            </w:r>
            <w:r>
              <w:rPr>
                <w:spacing w:val="-11"/>
                <w:sz w:val="20"/>
              </w:rPr>
              <w:t> </w:t>
            </w:r>
            <w:r>
              <w:rPr>
                <w:sz w:val="20"/>
              </w:rPr>
              <w:t>ефикасно,</w:t>
            </w:r>
            <w:r>
              <w:rPr>
                <w:spacing w:val="-13"/>
                <w:sz w:val="20"/>
              </w:rPr>
              <w:t> </w:t>
            </w:r>
            <w:r>
              <w:rPr>
                <w:sz w:val="20"/>
              </w:rPr>
              <w:t>или </w:t>
            </w:r>
            <w:r>
              <w:rPr>
                <w:spacing w:val="-2"/>
                <w:sz w:val="20"/>
              </w:rPr>
              <w:t>изостаје.</w:t>
            </w:r>
          </w:p>
        </w:tc>
        <w:tc>
          <w:tcPr>
            <w:tcW w:w="3985" w:type="dxa"/>
            <w:tcBorders>
              <w:left w:val="single" w:sz="6" w:space="0" w:color="000000"/>
            </w:tcBorders>
          </w:tcPr>
          <w:p>
            <w:pPr>
              <w:pStyle w:val="TableParagraph"/>
              <w:ind w:left="99"/>
              <w:rPr>
                <w:sz w:val="20"/>
              </w:rPr>
            </w:pPr>
            <w:r>
              <w:rPr>
                <w:sz w:val="20"/>
              </w:rPr>
              <w:t>Унапређење система праћења и вредновања исхода и утицаја мера АПЗ</w:t>
            </w:r>
          </w:p>
        </w:tc>
      </w:tr>
      <w:tr>
        <w:trPr>
          <w:trHeight w:val="1736" w:hRule="atLeast"/>
        </w:trPr>
        <w:tc>
          <w:tcPr>
            <w:tcW w:w="1109" w:type="dxa"/>
            <w:tcBorders>
              <w:right w:val="single" w:sz="6" w:space="0" w:color="000000"/>
            </w:tcBorders>
          </w:tcPr>
          <w:p>
            <w:pPr>
              <w:pStyle w:val="TableParagraph"/>
              <w:ind w:left="50" w:right="112"/>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spacing w:line="259" w:lineRule="auto"/>
              <w:ind w:left="100" w:right="102"/>
              <w:jc w:val="both"/>
              <w:rPr>
                <w:sz w:val="20"/>
              </w:rPr>
            </w:pPr>
            <w:r>
              <w:rPr>
                <w:sz w:val="20"/>
              </w:rPr>
              <w:t>Неповољан положај на тржишту рада жена из посебно осетљивих</w:t>
            </w:r>
            <w:r>
              <w:rPr>
                <w:spacing w:val="-7"/>
                <w:sz w:val="20"/>
              </w:rPr>
              <w:t> </w:t>
            </w:r>
            <w:r>
              <w:rPr>
                <w:sz w:val="20"/>
              </w:rPr>
              <w:t>група.</w:t>
            </w:r>
            <w:r>
              <w:rPr>
                <w:spacing w:val="-5"/>
                <w:sz w:val="20"/>
              </w:rPr>
              <w:t> </w:t>
            </w:r>
            <w:r>
              <w:rPr>
                <w:sz w:val="20"/>
              </w:rPr>
              <w:t>Постојање</w:t>
            </w:r>
            <w:r>
              <w:rPr>
                <w:spacing w:val="-6"/>
                <w:sz w:val="20"/>
              </w:rPr>
              <w:t> </w:t>
            </w:r>
            <w:r>
              <w:rPr>
                <w:sz w:val="20"/>
              </w:rPr>
              <w:t>родног</w:t>
            </w:r>
            <w:r>
              <w:rPr>
                <w:spacing w:val="-7"/>
                <w:sz w:val="20"/>
              </w:rPr>
              <w:t> </w:t>
            </w:r>
            <w:r>
              <w:rPr>
                <w:sz w:val="20"/>
              </w:rPr>
              <w:t>јаза</w:t>
            </w:r>
            <w:r>
              <w:rPr>
                <w:spacing w:val="-3"/>
                <w:sz w:val="20"/>
              </w:rPr>
              <w:t> </w:t>
            </w:r>
            <w:r>
              <w:rPr>
                <w:sz w:val="20"/>
              </w:rPr>
              <w:t>у</w:t>
            </w:r>
            <w:r>
              <w:rPr>
                <w:spacing w:val="-10"/>
                <w:sz w:val="20"/>
              </w:rPr>
              <w:t> </w:t>
            </w:r>
            <w:r>
              <w:rPr>
                <w:sz w:val="20"/>
              </w:rPr>
              <w:t>вредностима основних индикатора тржишта рада, као и неусклађености износа зарада мушкараца и жена за посао исте вредности (платни јаз). Недовољна доступност</w:t>
            </w:r>
            <w:r>
              <w:rPr>
                <w:spacing w:val="58"/>
                <w:w w:val="150"/>
                <w:sz w:val="20"/>
              </w:rPr>
              <w:t> </w:t>
            </w:r>
            <w:r>
              <w:rPr>
                <w:sz w:val="20"/>
              </w:rPr>
              <w:t>и</w:t>
            </w:r>
            <w:r>
              <w:rPr>
                <w:spacing w:val="56"/>
                <w:w w:val="150"/>
                <w:sz w:val="20"/>
              </w:rPr>
              <w:t> </w:t>
            </w:r>
            <w:r>
              <w:rPr>
                <w:sz w:val="20"/>
              </w:rPr>
              <w:t>обухват</w:t>
            </w:r>
            <w:r>
              <w:rPr>
                <w:spacing w:val="58"/>
                <w:w w:val="150"/>
                <w:sz w:val="20"/>
              </w:rPr>
              <w:t> </w:t>
            </w:r>
            <w:r>
              <w:rPr>
                <w:sz w:val="20"/>
              </w:rPr>
              <w:t>жена</w:t>
            </w:r>
            <w:r>
              <w:rPr>
                <w:spacing w:val="57"/>
                <w:w w:val="150"/>
                <w:sz w:val="20"/>
              </w:rPr>
              <w:t> </w:t>
            </w:r>
            <w:r>
              <w:rPr>
                <w:sz w:val="20"/>
              </w:rPr>
              <w:t>мерама</w:t>
            </w:r>
            <w:r>
              <w:rPr>
                <w:spacing w:val="57"/>
                <w:w w:val="150"/>
                <w:sz w:val="20"/>
              </w:rPr>
              <w:t> </w:t>
            </w:r>
            <w:r>
              <w:rPr>
                <w:sz w:val="20"/>
              </w:rPr>
              <w:t>усмереним</w:t>
            </w:r>
            <w:r>
              <w:rPr>
                <w:spacing w:val="58"/>
                <w:w w:val="150"/>
                <w:sz w:val="20"/>
              </w:rPr>
              <w:t> </w:t>
            </w:r>
            <w:r>
              <w:rPr>
                <w:spacing w:val="-5"/>
                <w:sz w:val="20"/>
              </w:rPr>
              <w:t>ка</w:t>
            </w:r>
          </w:p>
          <w:p>
            <w:pPr>
              <w:pStyle w:val="TableParagraph"/>
              <w:spacing w:line="228" w:lineRule="exact"/>
              <w:ind w:left="100"/>
              <w:jc w:val="both"/>
              <w:rPr>
                <w:sz w:val="20"/>
              </w:rPr>
            </w:pPr>
            <w:r>
              <w:rPr>
                <w:sz w:val="20"/>
              </w:rPr>
              <w:t>економском</w:t>
            </w:r>
            <w:r>
              <w:rPr>
                <w:spacing w:val="-8"/>
                <w:sz w:val="20"/>
              </w:rPr>
              <w:t> </w:t>
            </w:r>
            <w:r>
              <w:rPr>
                <w:sz w:val="20"/>
              </w:rPr>
              <w:t>оснаживању</w:t>
            </w:r>
            <w:r>
              <w:rPr>
                <w:spacing w:val="-9"/>
                <w:sz w:val="20"/>
              </w:rPr>
              <w:t> </w:t>
            </w:r>
            <w:r>
              <w:rPr>
                <w:sz w:val="20"/>
              </w:rPr>
              <w:t>и</w:t>
            </w:r>
            <w:r>
              <w:rPr>
                <w:spacing w:val="-7"/>
                <w:sz w:val="20"/>
              </w:rPr>
              <w:t> </w:t>
            </w:r>
            <w:r>
              <w:rPr>
                <w:spacing w:val="-2"/>
                <w:sz w:val="20"/>
              </w:rPr>
              <w:t>осамостаљивању.</w:t>
            </w:r>
          </w:p>
        </w:tc>
        <w:tc>
          <w:tcPr>
            <w:tcW w:w="3985" w:type="dxa"/>
            <w:tcBorders>
              <w:left w:val="single" w:sz="6" w:space="0" w:color="000000"/>
            </w:tcBorders>
          </w:tcPr>
          <w:p>
            <w:pPr>
              <w:pStyle w:val="TableParagraph"/>
              <w:spacing w:line="226" w:lineRule="exact"/>
              <w:ind w:left="99"/>
              <w:rPr>
                <w:sz w:val="20"/>
              </w:rPr>
            </w:pPr>
            <w:r>
              <w:rPr>
                <w:sz w:val="20"/>
              </w:rPr>
              <w:t>Унапређење</w:t>
            </w:r>
            <w:r>
              <w:rPr>
                <w:spacing w:val="-12"/>
                <w:sz w:val="20"/>
              </w:rPr>
              <w:t> </w:t>
            </w:r>
            <w:r>
              <w:rPr>
                <w:sz w:val="20"/>
              </w:rPr>
              <w:t>положаја</w:t>
            </w:r>
            <w:r>
              <w:rPr>
                <w:spacing w:val="-11"/>
                <w:sz w:val="20"/>
              </w:rPr>
              <w:t> </w:t>
            </w:r>
            <w:r>
              <w:rPr>
                <w:sz w:val="20"/>
              </w:rPr>
              <w:t>жена</w:t>
            </w:r>
            <w:r>
              <w:rPr>
                <w:spacing w:val="-10"/>
                <w:sz w:val="20"/>
              </w:rPr>
              <w:t> </w:t>
            </w:r>
            <w:r>
              <w:rPr>
                <w:sz w:val="20"/>
              </w:rPr>
              <w:t>на</w:t>
            </w:r>
            <w:r>
              <w:rPr>
                <w:spacing w:val="-12"/>
                <w:sz w:val="20"/>
              </w:rPr>
              <w:t> </w:t>
            </w:r>
            <w:r>
              <w:rPr>
                <w:sz w:val="20"/>
              </w:rPr>
              <w:t>тржишту</w:t>
            </w:r>
            <w:r>
              <w:rPr>
                <w:spacing w:val="-13"/>
                <w:sz w:val="20"/>
              </w:rPr>
              <w:t> </w:t>
            </w:r>
            <w:r>
              <w:rPr>
                <w:spacing w:val="-4"/>
                <w:sz w:val="20"/>
              </w:rPr>
              <w:t>рада</w:t>
            </w:r>
          </w:p>
        </w:tc>
      </w:tr>
      <w:tr>
        <w:trPr>
          <w:trHeight w:val="3238" w:hRule="atLeast"/>
        </w:trPr>
        <w:tc>
          <w:tcPr>
            <w:tcW w:w="1109" w:type="dxa"/>
            <w:tcBorders>
              <w:right w:val="single" w:sz="6" w:space="0" w:color="000000"/>
            </w:tcBorders>
          </w:tcPr>
          <w:p>
            <w:pPr>
              <w:pStyle w:val="TableParagraph"/>
              <w:spacing w:before="18"/>
              <w:ind w:left="50" w:right="112"/>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spacing w:before="13"/>
              <w:ind w:left="100" w:right="101"/>
              <w:jc w:val="both"/>
              <w:rPr>
                <w:sz w:val="20"/>
              </w:rPr>
            </w:pPr>
            <w:r>
              <w:rPr>
                <w:sz w:val="20"/>
              </w:rPr>
              <w:t>Услед социо-економских карактеристика положај младих на тржишту рада је неповољнији од положаја опште популације. Узроци њиховог заостајања на </w:t>
            </w:r>
            <w:r>
              <w:rPr>
                <w:spacing w:val="-2"/>
                <w:sz w:val="20"/>
              </w:rPr>
              <w:t>тржишту</w:t>
            </w:r>
            <w:r>
              <w:rPr>
                <w:spacing w:val="-9"/>
                <w:sz w:val="20"/>
              </w:rPr>
              <w:t> </w:t>
            </w:r>
            <w:r>
              <w:rPr>
                <w:spacing w:val="-2"/>
                <w:sz w:val="20"/>
              </w:rPr>
              <w:t>рада</w:t>
            </w:r>
            <w:r>
              <w:rPr>
                <w:spacing w:val="-7"/>
                <w:sz w:val="20"/>
              </w:rPr>
              <w:t> </w:t>
            </w:r>
            <w:r>
              <w:rPr>
                <w:spacing w:val="-2"/>
                <w:sz w:val="20"/>
              </w:rPr>
              <w:t>су</w:t>
            </w:r>
            <w:r>
              <w:rPr>
                <w:spacing w:val="-6"/>
                <w:sz w:val="20"/>
              </w:rPr>
              <w:t> </w:t>
            </w:r>
            <w:r>
              <w:rPr>
                <w:spacing w:val="-2"/>
                <w:sz w:val="20"/>
              </w:rPr>
              <w:t>у</w:t>
            </w:r>
            <w:r>
              <w:rPr>
                <w:spacing w:val="-8"/>
                <w:sz w:val="20"/>
              </w:rPr>
              <w:t> </w:t>
            </w:r>
            <w:r>
              <w:rPr>
                <w:spacing w:val="-2"/>
                <w:sz w:val="20"/>
              </w:rPr>
              <w:t>ширем</w:t>
            </w:r>
            <w:r>
              <w:rPr>
                <w:spacing w:val="-6"/>
                <w:sz w:val="20"/>
              </w:rPr>
              <w:t> </w:t>
            </w:r>
            <w:r>
              <w:rPr>
                <w:spacing w:val="-2"/>
                <w:sz w:val="20"/>
              </w:rPr>
              <w:t>кругу</w:t>
            </w:r>
            <w:r>
              <w:rPr>
                <w:spacing w:val="-5"/>
                <w:sz w:val="20"/>
              </w:rPr>
              <w:t> </w:t>
            </w:r>
            <w:r>
              <w:rPr>
                <w:spacing w:val="-2"/>
                <w:sz w:val="20"/>
              </w:rPr>
              <w:t>политике</w:t>
            </w:r>
            <w:r>
              <w:rPr>
                <w:spacing w:val="-7"/>
                <w:sz w:val="20"/>
              </w:rPr>
              <w:t> </w:t>
            </w:r>
            <w:r>
              <w:rPr>
                <w:spacing w:val="-2"/>
                <w:sz w:val="20"/>
              </w:rPr>
              <w:t>запошљавања</w:t>
            </w:r>
          </w:p>
          <w:p>
            <w:pPr>
              <w:pStyle w:val="TableParagraph"/>
              <w:ind w:left="100" w:right="100"/>
              <w:jc w:val="both"/>
              <w:rPr>
                <w:sz w:val="20"/>
              </w:rPr>
            </w:pPr>
            <w:r>
              <w:rPr>
                <w:sz w:val="20"/>
              </w:rPr>
              <w:t>- дуалном карактеру тржиштa рада, у образовном систему, систему социјалних давања, као и систему опорезивања</w:t>
            </w:r>
            <w:r>
              <w:rPr>
                <w:spacing w:val="-13"/>
                <w:sz w:val="20"/>
              </w:rPr>
              <w:t> </w:t>
            </w:r>
            <w:r>
              <w:rPr>
                <w:sz w:val="20"/>
              </w:rPr>
              <w:t>рада</w:t>
            </w:r>
            <w:r>
              <w:rPr>
                <w:spacing w:val="-12"/>
                <w:sz w:val="20"/>
              </w:rPr>
              <w:t> </w:t>
            </w:r>
            <w:r>
              <w:rPr>
                <w:sz w:val="20"/>
              </w:rPr>
              <w:t>(укључујући</w:t>
            </w:r>
            <w:r>
              <w:rPr>
                <w:spacing w:val="-13"/>
                <w:sz w:val="20"/>
              </w:rPr>
              <w:t> </w:t>
            </w:r>
            <w:r>
              <w:rPr>
                <w:sz w:val="20"/>
              </w:rPr>
              <w:t>и</w:t>
            </w:r>
            <w:r>
              <w:rPr>
                <w:spacing w:val="-12"/>
                <w:sz w:val="20"/>
              </w:rPr>
              <w:t> </w:t>
            </w:r>
            <w:r>
              <w:rPr>
                <w:sz w:val="20"/>
              </w:rPr>
              <w:t>доприносе</w:t>
            </w:r>
            <w:r>
              <w:rPr>
                <w:spacing w:val="-13"/>
                <w:sz w:val="20"/>
              </w:rPr>
              <w:t> </w:t>
            </w:r>
            <w:r>
              <w:rPr>
                <w:sz w:val="20"/>
              </w:rPr>
              <w:t>за</w:t>
            </w:r>
            <w:r>
              <w:rPr>
                <w:spacing w:val="-12"/>
                <w:sz w:val="20"/>
              </w:rPr>
              <w:t> </w:t>
            </w:r>
            <w:r>
              <w:rPr>
                <w:sz w:val="20"/>
              </w:rPr>
              <w:t>обавезно социјално осигурање). Док су у процесу образовања млади</w:t>
            </w:r>
            <w:r>
              <w:rPr>
                <w:spacing w:val="-2"/>
                <w:sz w:val="20"/>
              </w:rPr>
              <w:t> </w:t>
            </w:r>
            <w:r>
              <w:rPr>
                <w:sz w:val="20"/>
              </w:rPr>
              <w:t>су</w:t>
            </w:r>
            <w:r>
              <w:rPr>
                <w:spacing w:val="-4"/>
                <w:sz w:val="20"/>
              </w:rPr>
              <w:t> </w:t>
            </w:r>
            <w:r>
              <w:rPr>
                <w:sz w:val="20"/>
              </w:rPr>
              <w:t>мање присутни</w:t>
            </w:r>
            <w:r>
              <w:rPr>
                <w:spacing w:val="-2"/>
                <w:sz w:val="20"/>
              </w:rPr>
              <w:t> </w:t>
            </w:r>
            <w:r>
              <w:rPr>
                <w:sz w:val="20"/>
              </w:rPr>
              <w:t>на тржишту</w:t>
            </w:r>
            <w:r>
              <w:rPr>
                <w:spacing w:val="-4"/>
                <w:sz w:val="20"/>
              </w:rPr>
              <w:t> </w:t>
            </w:r>
            <w:r>
              <w:rPr>
                <w:sz w:val="20"/>
              </w:rPr>
              <w:t>рада, што доводи до високе стопе неактивности. Такође, велики број младих нису запослени, нису у процесу образовања нити</w:t>
            </w:r>
            <w:r>
              <w:rPr>
                <w:spacing w:val="8"/>
                <w:sz w:val="20"/>
              </w:rPr>
              <w:t> </w:t>
            </w:r>
            <w:r>
              <w:rPr>
                <w:sz w:val="20"/>
              </w:rPr>
              <w:t>су</w:t>
            </w:r>
            <w:r>
              <w:rPr>
                <w:spacing w:val="9"/>
                <w:sz w:val="20"/>
              </w:rPr>
              <w:t> </w:t>
            </w:r>
            <w:r>
              <w:rPr>
                <w:sz w:val="20"/>
              </w:rPr>
              <w:t>на</w:t>
            </w:r>
            <w:r>
              <w:rPr>
                <w:spacing w:val="10"/>
                <w:sz w:val="20"/>
              </w:rPr>
              <w:t> </w:t>
            </w:r>
            <w:r>
              <w:rPr>
                <w:sz w:val="20"/>
              </w:rPr>
              <w:t>обуци,</w:t>
            </w:r>
            <w:r>
              <w:rPr>
                <w:spacing w:val="10"/>
                <w:sz w:val="20"/>
              </w:rPr>
              <w:t> </w:t>
            </w:r>
            <w:r>
              <w:rPr>
                <w:sz w:val="20"/>
              </w:rPr>
              <w:t>па</w:t>
            </w:r>
            <w:r>
              <w:rPr>
                <w:spacing w:val="9"/>
                <w:sz w:val="20"/>
              </w:rPr>
              <w:t> </w:t>
            </w:r>
            <w:r>
              <w:rPr>
                <w:sz w:val="20"/>
              </w:rPr>
              <w:t>је</w:t>
            </w:r>
            <w:r>
              <w:rPr>
                <w:spacing w:val="10"/>
                <w:sz w:val="20"/>
              </w:rPr>
              <w:t> </w:t>
            </w:r>
            <w:r>
              <w:rPr>
                <w:sz w:val="20"/>
              </w:rPr>
              <w:t>њихово</w:t>
            </w:r>
            <w:r>
              <w:rPr>
                <w:spacing w:val="11"/>
                <w:sz w:val="20"/>
              </w:rPr>
              <w:t> </w:t>
            </w:r>
            <w:r>
              <w:rPr>
                <w:sz w:val="20"/>
              </w:rPr>
              <w:t>учешће</w:t>
            </w:r>
            <w:r>
              <w:rPr>
                <w:spacing w:val="13"/>
                <w:sz w:val="20"/>
              </w:rPr>
              <w:t> </w:t>
            </w:r>
            <w:r>
              <w:rPr>
                <w:sz w:val="20"/>
              </w:rPr>
              <w:t>у</w:t>
            </w:r>
            <w:r>
              <w:rPr>
                <w:spacing w:val="6"/>
                <w:sz w:val="20"/>
              </w:rPr>
              <w:t> </w:t>
            </w:r>
            <w:r>
              <w:rPr>
                <w:sz w:val="20"/>
              </w:rPr>
              <w:t>радној</w:t>
            </w:r>
            <w:r>
              <w:rPr>
                <w:spacing w:val="11"/>
                <w:sz w:val="20"/>
              </w:rPr>
              <w:t> </w:t>
            </w:r>
            <w:r>
              <w:rPr>
                <w:spacing w:val="-2"/>
                <w:sz w:val="20"/>
              </w:rPr>
              <w:t>снази</w:t>
            </w:r>
          </w:p>
          <w:p>
            <w:pPr>
              <w:pStyle w:val="TableParagraph"/>
              <w:spacing w:line="230" w:lineRule="atLeast"/>
              <w:ind w:left="100" w:right="102"/>
              <w:jc w:val="both"/>
              <w:rPr>
                <w:sz w:val="20"/>
              </w:rPr>
            </w:pPr>
            <w:r>
              <w:rPr>
                <w:sz w:val="20"/>
              </w:rPr>
              <w:t>веома ниско. Недостатак радног искуства, једна је од најчешћих препрека за запошљавање младих.</w:t>
            </w:r>
          </w:p>
        </w:tc>
        <w:tc>
          <w:tcPr>
            <w:tcW w:w="3985" w:type="dxa"/>
            <w:tcBorders>
              <w:left w:val="single" w:sz="6" w:space="0" w:color="000000"/>
            </w:tcBorders>
          </w:tcPr>
          <w:p>
            <w:pPr>
              <w:pStyle w:val="TableParagraph"/>
              <w:spacing w:before="13"/>
              <w:ind w:left="99"/>
              <w:rPr>
                <w:sz w:val="20"/>
              </w:rPr>
            </w:pPr>
            <w:r>
              <w:rPr>
                <w:sz w:val="20"/>
              </w:rPr>
              <w:t>Побољшање</w:t>
            </w:r>
            <w:r>
              <w:rPr>
                <w:spacing w:val="-10"/>
                <w:sz w:val="20"/>
              </w:rPr>
              <w:t> </w:t>
            </w:r>
            <w:r>
              <w:rPr>
                <w:sz w:val="20"/>
              </w:rPr>
              <w:t>положаја</w:t>
            </w:r>
            <w:r>
              <w:rPr>
                <w:spacing w:val="-11"/>
                <w:sz w:val="20"/>
              </w:rPr>
              <w:t> </w:t>
            </w:r>
            <w:r>
              <w:rPr>
                <w:sz w:val="20"/>
              </w:rPr>
              <w:t>младих</w:t>
            </w:r>
            <w:r>
              <w:rPr>
                <w:spacing w:val="-10"/>
                <w:sz w:val="20"/>
              </w:rPr>
              <w:t> </w:t>
            </w:r>
            <w:r>
              <w:rPr>
                <w:sz w:val="20"/>
              </w:rPr>
              <w:t>на</w:t>
            </w:r>
            <w:r>
              <w:rPr>
                <w:spacing w:val="-11"/>
                <w:sz w:val="20"/>
              </w:rPr>
              <w:t> </w:t>
            </w:r>
            <w:r>
              <w:rPr>
                <w:sz w:val="20"/>
              </w:rPr>
              <w:t>тржишту </w:t>
            </w:r>
            <w:r>
              <w:rPr>
                <w:spacing w:val="-4"/>
                <w:sz w:val="20"/>
              </w:rPr>
              <w:t>рада</w:t>
            </w:r>
          </w:p>
        </w:tc>
      </w:tr>
      <w:tr>
        <w:trPr>
          <w:trHeight w:val="747" w:hRule="atLeast"/>
        </w:trPr>
        <w:tc>
          <w:tcPr>
            <w:tcW w:w="1109" w:type="dxa"/>
            <w:tcBorders>
              <w:right w:val="single" w:sz="6" w:space="0" w:color="000000"/>
            </w:tcBorders>
          </w:tcPr>
          <w:p>
            <w:pPr>
              <w:pStyle w:val="TableParagraph"/>
              <w:ind w:left="50" w:right="112"/>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spacing w:line="225" w:lineRule="exact"/>
              <w:ind w:left="100"/>
              <w:rPr>
                <w:sz w:val="20"/>
              </w:rPr>
            </w:pPr>
            <w:r>
              <w:rPr>
                <w:sz w:val="20"/>
              </w:rPr>
              <w:t>Недовољна</w:t>
            </w:r>
            <w:r>
              <w:rPr>
                <w:spacing w:val="9"/>
                <w:sz w:val="20"/>
              </w:rPr>
              <w:t> </w:t>
            </w:r>
            <w:r>
              <w:rPr>
                <w:sz w:val="20"/>
              </w:rPr>
              <w:t>сензибилизација</w:t>
            </w:r>
            <w:r>
              <w:rPr>
                <w:spacing w:val="7"/>
                <w:sz w:val="20"/>
              </w:rPr>
              <w:t> </w:t>
            </w:r>
            <w:r>
              <w:rPr>
                <w:sz w:val="20"/>
              </w:rPr>
              <w:t>друштва</w:t>
            </w:r>
            <w:r>
              <w:rPr>
                <w:spacing w:val="7"/>
                <w:sz w:val="20"/>
              </w:rPr>
              <w:t> </w:t>
            </w:r>
            <w:r>
              <w:rPr>
                <w:sz w:val="20"/>
              </w:rPr>
              <w:t>о</w:t>
            </w:r>
            <w:r>
              <w:rPr>
                <w:spacing w:val="7"/>
                <w:sz w:val="20"/>
              </w:rPr>
              <w:t> </w:t>
            </w:r>
            <w:r>
              <w:rPr>
                <w:spacing w:val="-2"/>
                <w:sz w:val="20"/>
              </w:rPr>
              <w:t>могућностима,</w:t>
            </w:r>
          </w:p>
          <w:p>
            <w:pPr>
              <w:pStyle w:val="TableParagraph"/>
              <w:spacing w:line="240" w:lineRule="atLeast" w:before="9"/>
              <w:ind w:left="100"/>
              <w:rPr>
                <w:sz w:val="20"/>
              </w:rPr>
            </w:pPr>
            <w:r>
              <w:rPr>
                <w:sz w:val="20"/>
              </w:rPr>
              <w:t>потенцијалима</w:t>
            </w:r>
            <w:r>
              <w:rPr>
                <w:spacing w:val="40"/>
                <w:sz w:val="20"/>
              </w:rPr>
              <w:t> </w:t>
            </w:r>
            <w:r>
              <w:rPr>
                <w:sz w:val="20"/>
              </w:rPr>
              <w:t>и</w:t>
            </w:r>
            <w:r>
              <w:rPr>
                <w:spacing w:val="40"/>
                <w:sz w:val="20"/>
              </w:rPr>
              <w:t> </w:t>
            </w:r>
            <w:r>
              <w:rPr>
                <w:sz w:val="20"/>
              </w:rPr>
              <w:t>оправданости</w:t>
            </w:r>
            <w:r>
              <w:rPr>
                <w:spacing w:val="40"/>
                <w:sz w:val="20"/>
              </w:rPr>
              <w:t> </w:t>
            </w:r>
            <w:r>
              <w:rPr>
                <w:sz w:val="20"/>
              </w:rPr>
              <w:t>укључивања</w:t>
            </w:r>
            <w:r>
              <w:rPr>
                <w:spacing w:val="40"/>
                <w:sz w:val="20"/>
              </w:rPr>
              <w:t> </w:t>
            </w:r>
            <w:r>
              <w:rPr>
                <w:sz w:val="20"/>
              </w:rPr>
              <w:t>ОСИ</w:t>
            </w:r>
            <w:r>
              <w:rPr>
                <w:spacing w:val="40"/>
                <w:sz w:val="20"/>
              </w:rPr>
              <w:t> </w:t>
            </w:r>
            <w:r>
              <w:rPr>
                <w:sz w:val="20"/>
              </w:rPr>
              <w:t>на тржиште</w:t>
            </w:r>
            <w:r>
              <w:rPr>
                <w:spacing w:val="66"/>
                <w:sz w:val="20"/>
              </w:rPr>
              <w:t> </w:t>
            </w:r>
            <w:r>
              <w:rPr>
                <w:sz w:val="20"/>
              </w:rPr>
              <w:t>рада.</w:t>
            </w:r>
            <w:r>
              <w:rPr>
                <w:spacing w:val="68"/>
                <w:sz w:val="20"/>
              </w:rPr>
              <w:t> </w:t>
            </w:r>
            <w:r>
              <w:rPr>
                <w:sz w:val="20"/>
              </w:rPr>
              <w:t>Низак</w:t>
            </w:r>
            <w:r>
              <w:rPr>
                <w:spacing w:val="69"/>
                <w:sz w:val="20"/>
              </w:rPr>
              <w:t> </w:t>
            </w:r>
            <w:r>
              <w:rPr>
                <w:sz w:val="20"/>
              </w:rPr>
              <w:t>ниво</w:t>
            </w:r>
            <w:r>
              <w:rPr>
                <w:spacing w:val="67"/>
                <w:sz w:val="20"/>
              </w:rPr>
              <w:t> </w:t>
            </w:r>
            <w:r>
              <w:rPr>
                <w:sz w:val="20"/>
              </w:rPr>
              <w:t>партиципације</w:t>
            </w:r>
            <w:r>
              <w:rPr>
                <w:spacing w:val="67"/>
                <w:sz w:val="20"/>
              </w:rPr>
              <w:t> </w:t>
            </w:r>
            <w:r>
              <w:rPr>
                <w:sz w:val="20"/>
              </w:rPr>
              <w:t>ОСИ</w:t>
            </w:r>
            <w:r>
              <w:rPr>
                <w:spacing w:val="70"/>
                <w:sz w:val="20"/>
              </w:rPr>
              <w:t> </w:t>
            </w:r>
            <w:r>
              <w:rPr>
                <w:spacing w:val="-5"/>
                <w:sz w:val="20"/>
              </w:rPr>
              <w:t>на</w:t>
            </w:r>
          </w:p>
        </w:tc>
        <w:tc>
          <w:tcPr>
            <w:tcW w:w="3985" w:type="dxa"/>
            <w:tcBorders>
              <w:left w:val="single" w:sz="6" w:space="0" w:color="000000"/>
            </w:tcBorders>
          </w:tcPr>
          <w:p>
            <w:pPr>
              <w:pStyle w:val="TableParagraph"/>
              <w:tabs>
                <w:tab w:pos="1608" w:val="left" w:leader="none"/>
                <w:tab w:pos="2827" w:val="left" w:leader="none"/>
                <w:tab w:pos="3748" w:val="left" w:leader="none"/>
              </w:tabs>
              <w:ind w:left="99" w:right="50"/>
              <w:rPr>
                <w:sz w:val="20"/>
              </w:rPr>
            </w:pPr>
            <w:r>
              <w:rPr>
                <w:spacing w:val="-2"/>
                <w:sz w:val="20"/>
              </w:rPr>
              <w:t>Побољшање</w:t>
            </w:r>
            <w:r>
              <w:rPr>
                <w:sz w:val="20"/>
              </w:rPr>
              <w:tab/>
            </w:r>
            <w:r>
              <w:rPr>
                <w:spacing w:val="-2"/>
                <w:sz w:val="20"/>
              </w:rPr>
              <w:t>положаја</w:t>
            </w:r>
            <w:r>
              <w:rPr>
                <w:sz w:val="20"/>
              </w:rPr>
              <w:tab/>
            </w:r>
            <w:r>
              <w:rPr>
                <w:spacing w:val="-4"/>
                <w:sz w:val="20"/>
              </w:rPr>
              <w:t>особа</w:t>
            </w:r>
            <w:r>
              <w:rPr>
                <w:sz w:val="20"/>
              </w:rPr>
              <w:tab/>
            </w:r>
            <w:r>
              <w:rPr>
                <w:spacing w:val="-6"/>
                <w:sz w:val="20"/>
              </w:rPr>
              <w:t>са </w:t>
            </w:r>
            <w:r>
              <w:rPr>
                <w:sz w:val="20"/>
              </w:rPr>
              <w:t>инвалидитетом на тржишту рада</w:t>
            </w:r>
          </w:p>
        </w:tc>
      </w:tr>
    </w:tbl>
    <w:p>
      <w:pPr>
        <w:pStyle w:val="TableParagraph"/>
        <w:spacing w:after="0"/>
        <w:rPr>
          <w:sz w:val="20"/>
        </w:rPr>
        <w:sectPr>
          <w:pgSz w:w="12240" w:h="15840"/>
          <w:pgMar w:header="0" w:footer="702" w:top="1420" w:bottom="1482" w:left="1080" w:right="720"/>
        </w:sectPr>
      </w:pPr>
    </w:p>
    <w:tbl>
      <w:tblPr>
        <w:tblW w:w="0" w:type="auto"/>
        <w:jc w:val="lef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9"/>
        <w:gridCol w:w="4960"/>
        <w:gridCol w:w="3985"/>
      </w:tblGrid>
      <w:tr>
        <w:trPr>
          <w:trHeight w:val="515" w:hRule="atLeast"/>
        </w:trPr>
        <w:tc>
          <w:tcPr>
            <w:tcW w:w="1109" w:type="dxa"/>
            <w:tcBorders>
              <w:right w:val="single" w:sz="6" w:space="0" w:color="000000"/>
            </w:tcBorders>
          </w:tcPr>
          <w:p>
            <w:pPr>
              <w:pStyle w:val="TableParagraph"/>
              <w:rPr>
                <w:sz w:val="22"/>
              </w:rPr>
            </w:pPr>
          </w:p>
        </w:tc>
        <w:tc>
          <w:tcPr>
            <w:tcW w:w="4960" w:type="dxa"/>
            <w:tcBorders>
              <w:left w:val="single" w:sz="6" w:space="0" w:color="000000"/>
              <w:right w:val="single" w:sz="6" w:space="0" w:color="000000"/>
            </w:tcBorders>
          </w:tcPr>
          <w:p>
            <w:pPr>
              <w:pStyle w:val="TableParagraph"/>
              <w:spacing w:line="256" w:lineRule="auto"/>
              <w:ind w:left="100"/>
              <w:rPr>
                <w:sz w:val="20"/>
              </w:rPr>
            </w:pPr>
            <w:r>
              <w:rPr>
                <w:sz w:val="20"/>
              </w:rPr>
              <w:t>тржишту рада,</w:t>
            </w:r>
            <w:r>
              <w:rPr>
                <w:spacing w:val="26"/>
                <w:sz w:val="20"/>
              </w:rPr>
              <w:t> </w:t>
            </w:r>
            <w:r>
              <w:rPr>
                <w:sz w:val="20"/>
              </w:rPr>
              <w:t>недостатак</w:t>
            </w:r>
            <w:r>
              <w:rPr>
                <w:spacing w:val="24"/>
                <w:sz w:val="20"/>
              </w:rPr>
              <w:t> </w:t>
            </w:r>
            <w:r>
              <w:rPr>
                <w:sz w:val="20"/>
              </w:rPr>
              <w:t>радног</w:t>
            </w:r>
            <w:r>
              <w:rPr>
                <w:spacing w:val="22"/>
                <w:sz w:val="20"/>
              </w:rPr>
              <w:t> </w:t>
            </w:r>
            <w:r>
              <w:rPr>
                <w:sz w:val="20"/>
              </w:rPr>
              <w:t>искуства</w:t>
            </w:r>
            <w:r>
              <w:rPr>
                <w:spacing w:val="22"/>
                <w:sz w:val="20"/>
              </w:rPr>
              <w:t> </w:t>
            </w:r>
            <w:r>
              <w:rPr>
                <w:sz w:val="20"/>
              </w:rPr>
              <w:t>и</w:t>
            </w:r>
            <w:r>
              <w:rPr>
                <w:spacing w:val="25"/>
                <w:sz w:val="20"/>
              </w:rPr>
              <w:t> </w:t>
            </w:r>
            <w:r>
              <w:rPr>
                <w:sz w:val="20"/>
              </w:rPr>
              <w:t>знања</w:t>
            </w:r>
            <w:r>
              <w:rPr>
                <w:spacing w:val="23"/>
                <w:sz w:val="20"/>
              </w:rPr>
              <w:t> </w:t>
            </w:r>
            <w:r>
              <w:rPr>
                <w:sz w:val="20"/>
              </w:rPr>
              <w:t>и вештина</w:t>
            </w:r>
            <w:r>
              <w:rPr>
                <w:spacing w:val="-6"/>
                <w:sz w:val="20"/>
              </w:rPr>
              <w:t> </w:t>
            </w:r>
            <w:r>
              <w:rPr>
                <w:sz w:val="20"/>
              </w:rPr>
              <w:t>за</w:t>
            </w:r>
            <w:r>
              <w:rPr>
                <w:spacing w:val="-5"/>
                <w:sz w:val="20"/>
              </w:rPr>
              <w:t> </w:t>
            </w:r>
            <w:r>
              <w:rPr>
                <w:sz w:val="20"/>
              </w:rPr>
              <w:t>којима</w:t>
            </w:r>
            <w:r>
              <w:rPr>
                <w:spacing w:val="-5"/>
                <w:sz w:val="20"/>
              </w:rPr>
              <w:t> </w:t>
            </w:r>
            <w:r>
              <w:rPr>
                <w:sz w:val="20"/>
              </w:rPr>
              <w:t>постоји</w:t>
            </w:r>
            <w:r>
              <w:rPr>
                <w:spacing w:val="-6"/>
                <w:sz w:val="20"/>
              </w:rPr>
              <w:t> </w:t>
            </w:r>
            <w:r>
              <w:rPr>
                <w:sz w:val="20"/>
              </w:rPr>
              <w:t>потражња</w:t>
            </w:r>
            <w:r>
              <w:rPr>
                <w:spacing w:val="-6"/>
                <w:sz w:val="20"/>
              </w:rPr>
              <w:t> </w:t>
            </w:r>
            <w:r>
              <w:rPr>
                <w:sz w:val="20"/>
              </w:rPr>
              <w:t>на</w:t>
            </w:r>
            <w:r>
              <w:rPr>
                <w:spacing w:val="-6"/>
                <w:sz w:val="20"/>
              </w:rPr>
              <w:t> </w:t>
            </w:r>
            <w:r>
              <w:rPr>
                <w:sz w:val="20"/>
              </w:rPr>
              <w:t>тржишту</w:t>
            </w:r>
            <w:r>
              <w:rPr>
                <w:spacing w:val="-9"/>
                <w:sz w:val="20"/>
              </w:rPr>
              <w:t> </w:t>
            </w:r>
            <w:r>
              <w:rPr>
                <w:spacing w:val="-2"/>
                <w:sz w:val="20"/>
              </w:rPr>
              <w:t>рада.</w:t>
            </w:r>
          </w:p>
        </w:tc>
        <w:tc>
          <w:tcPr>
            <w:tcW w:w="3985" w:type="dxa"/>
            <w:tcBorders>
              <w:left w:val="single" w:sz="6" w:space="0" w:color="000000"/>
            </w:tcBorders>
          </w:tcPr>
          <w:p>
            <w:pPr>
              <w:pStyle w:val="TableParagraph"/>
              <w:rPr>
                <w:sz w:val="22"/>
              </w:rPr>
            </w:pPr>
          </w:p>
        </w:tc>
      </w:tr>
      <w:tr>
        <w:trPr>
          <w:trHeight w:val="500" w:hRule="atLeast"/>
        </w:trPr>
        <w:tc>
          <w:tcPr>
            <w:tcW w:w="1109" w:type="dxa"/>
            <w:tcBorders>
              <w:right w:val="single" w:sz="6" w:space="0" w:color="000000"/>
            </w:tcBorders>
          </w:tcPr>
          <w:p>
            <w:pPr>
              <w:pStyle w:val="TableParagraph"/>
              <w:spacing w:before="40"/>
              <w:ind w:left="50"/>
              <w:rPr>
                <w:b/>
                <w:sz w:val="20"/>
              </w:rPr>
            </w:pPr>
            <w:r>
              <w:rPr>
                <w:b/>
                <w:spacing w:val="-2"/>
                <w:sz w:val="20"/>
              </w:rPr>
              <w:t>Проблем</w:t>
            </w:r>
          </w:p>
        </w:tc>
        <w:tc>
          <w:tcPr>
            <w:tcW w:w="4960" w:type="dxa"/>
            <w:tcBorders>
              <w:left w:val="single" w:sz="6" w:space="0" w:color="000000"/>
              <w:right w:val="single" w:sz="6" w:space="0" w:color="000000"/>
            </w:tcBorders>
          </w:tcPr>
          <w:p>
            <w:pPr>
              <w:pStyle w:val="TableParagraph"/>
              <w:spacing w:line="230" w:lineRule="atLeast" w:before="20"/>
              <w:ind w:left="100"/>
              <w:rPr>
                <w:sz w:val="20"/>
              </w:rPr>
            </w:pPr>
            <w:r>
              <w:rPr>
                <w:spacing w:val="-2"/>
                <w:sz w:val="20"/>
              </w:rPr>
              <w:t>Институционални</w:t>
            </w:r>
            <w:r>
              <w:rPr>
                <w:spacing w:val="-6"/>
                <w:sz w:val="20"/>
              </w:rPr>
              <w:t> </w:t>
            </w:r>
            <w:r>
              <w:rPr>
                <w:spacing w:val="-2"/>
                <w:sz w:val="20"/>
              </w:rPr>
              <w:t>оквир</w:t>
            </w:r>
            <w:r>
              <w:rPr>
                <w:spacing w:val="-4"/>
                <w:sz w:val="20"/>
              </w:rPr>
              <w:t> </w:t>
            </w:r>
            <w:r>
              <w:rPr>
                <w:spacing w:val="-2"/>
                <w:sz w:val="20"/>
              </w:rPr>
              <w:t>за</w:t>
            </w:r>
            <w:r>
              <w:rPr>
                <w:spacing w:val="-4"/>
                <w:sz w:val="20"/>
              </w:rPr>
              <w:t> </w:t>
            </w:r>
            <w:r>
              <w:rPr>
                <w:spacing w:val="-2"/>
                <w:sz w:val="20"/>
              </w:rPr>
              <w:t>политику</w:t>
            </w:r>
            <w:r>
              <w:rPr>
                <w:spacing w:val="-6"/>
                <w:sz w:val="20"/>
              </w:rPr>
              <w:t> </w:t>
            </w:r>
            <w:r>
              <w:rPr>
                <w:spacing w:val="-2"/>
                <w:sz w:val="20"/>
              </w:rPr>
              <w:t>тржишта</w:t>
            </w:r>
            <w:r>
              <w:rPr>
                <w:spacing w:val="-5"/>
                <w:sz w:val="20"/>
              </w:rPr>
              <w:t> </w:t>
            </w:r>
            <w:r>
              <w:rPr>
                <w:spacing w:val="-2"/>
                <w:sz w:val="20"/>
              </w:rPr>
              <w:t>рада</w:t>
            </w:r>
            <w:r>
              <w:rPr>
                <w:spacing w:val="-5"/>
                <w:sz w:val="20"/>
              </w:rPr>
              <w:t> </w:t>
            </w:r>
            <w:r>
              <w:rPr>
                <w:spacing w:val="-2"/>
                <w:sz w:val="20"/>
              </w:rPr>
              <w:t>није </w:t>
            </w:r>
            <w:r>
              <w:rPr>
                <w:sz w:val="20"/>
              </w:rPr>
              <w:t>прилагођен променама на тржишту рада.</w:t>
            </w:r>
          </w:p>
        </w:tc>
        <w:tc>
          <w:tcPr>
            <w:tcW w:w="3985" w:type="dxa"/>
            <w:tcBorders>
              <w:left w:val="single" w:sz="6" w:space="0" w:color="000000"/>
            </w:tcBorders>
          </w:tcPr>
          <w:p>
            <w:pPr>
              <w:pStyle w:val="TableParagraph"/>
              <w:tabs>
                <w:tab w:pos="1265" w:val="left" w:leader="none"/>
                <w:tab w:pos="3018" w:val="left" w:leader="none"/>
                <w:tab w:pos="3759" w:val="left" w:leader="none"/>
              </w:tabs>
              <w:spacing w:line="230" w:lineRule="atLeast" w:before="20"/>
              <w:ind w:left="99" w:right="49"/>
              <w:rPr>
                <w:sz w:val="20"/>
              </w:rPr>
            </w:pPr>
            <w:r>
              <w:rPr>
                <w:spacing w:val="-2"/>
                <w:sz w:val="20"/>
              </w:rPr>
              <w:t>Унапређен</w:t>
            </w:r>
            <w:r>
              <w:rPr>
                <w:sz w:val="20"/>
              </w:rPr>
              <w:tab/>
            </w:r>
            <w:r>
              <w:rPr>
                <w:spacing w:val="-2"/>
                <w:sz w:val="20"/>
              </w:rPr>
              <w:t>институционални</w:t>
            </w:r>
            <w:r>
              <w:rPr>
                <w:sz w:val="20"/>
              </w:rPr>
              <w:tab/>
            </w:r>
            <w:r>
              <w:rPr>
                <w:spacing w:val="-4"/>
                <w:sz w:val="20"/>
              </w:rPr>
              <w:t>оквир</w:t>
            </w:r>
            <w:r>
              <w:rPr>
                <w:sz w:val="20"/>
              </w:rPr>
              <w:tab/>
            </w:r>
            <w:r>
              <w:rPr>
                <w:spacing w:val="-6"/>
                <w:sz w:val="20"/>
              </w:rPr>
              <w:t>за </w:t>
            </w:r>
            <w:r>
              <w:rPr>
                <w:sz w:val="20"/>
              </w:rPr>
              <w:t>политику запошљавања</w:t>
            </w:r>
          </w:p>
        </w:tc>
      </w:tr>
      <w:tr>
        <w:trPr>
          <w:trHeight w:val="1380" w:hRule="atLeast"/>
        </w:trPr>
        <w:tc>
          <w:tcPr>
            <w:tcW w:w="1109" w:type="dxa"/>
            <w:tcBorders>
              <w:right w:val="single" w:sz="6" w:space="0" w:color="000000"/>
            </w:tcBorders>
          </w:tcPr>
          <w:p>
            <w:pPr>
              <w:pStyle w:val="TableParagraph"/>
              <w:ind w:left="50" w:right="112"/>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ind w:left="100" w:right="101"/>
              <w:jc w:val="both"/>
              <w:rPr>
                <w:sz w:val="20"/>
              </w:rPr>
            </w:pPr>
            <w:r>
              <w:rPr>
                <w:sz w:val="20"/>
              </w:rPr>
              <w:t>Тржише рада се константно мења, па се самим тим јављају потребе које је могуће задовољити новим решењима</w:t>
            </w:r>
            <w:r>
              <w:rPr>
                <w:spacing w:val="-6"/>
                <w:sz w:val="20"/>
              </w:rPr>
              <w:t> </w:t>
            </w:r>
            <w:r>
              <w:rPr>
                <w:sz w:val="20"/>
              </w:rPr>
              <w:t>у</w:t>
            </w:r>
            <w:r>
              <w:rPr>
                <w:spacing w:val="-12"/>
                <w:sz w:val="20"/>
              </w:rPr>
              <w:t> </w:t>
            </w:r>
            <w:r>
              <w:rPr>
                <w:sz w:val="20"/>
              </w:rPr>
              <w:t>области</w:t>
            </w:r>
            <w:r>
              <w:rPr>
                <w:spacing w:val="-9"/>
                <w:sz w:val="20"/>
              </w:rPr>
              <w:t> </w:t>
            </w:r>
            <w:r>
              <w:rPr>
                <w:sz w:val="20"/>
              </w:rPr>
              <w:t>политике</w:t>
            </w:r>
            <w:r>
              <w:rPr>
                <w:spacing w:val="-6"/>
                <w:sz w:val="20"/>
              </w:rPr>
              <w:t> </w:t>
            </w:r>
            <w:r>
              <w:rPr>
                <w:sz w:val="20"/>
              </w:rPr>
              <w:t>запошљавања,</w:t>
            </w:r>
            <w:r>
              <w:rPr>
                <w:spacing w:val="-7"/>
                <w:sz w:val="20"/>
              </w:rPr>
              <w:t> </w:t>
            </w:r>
            <w:r>
              <w:rPr>
                <w:sz w:val="20"/>
              </w:rPr>
              <w:t>са</w:t>
            </w:r>
            <w:r>
              <w:rPr>
                <w:spacing w:val="-8"/>
                <w:sz w:val="20"/>
              </w:rPr>
              <w:t> </w:t>
            </w:r>
            <w:r>
              <w:rPr>
                <w:sz w:val="20"/>
              </w:rPr>
              <w:t>циљем остваривања пуне функционалности права и модалитета</w:t>
            </w:r>
            <w:r>
              <w:rPr>
                <w:spacing w:val="33"/>
                <w:sz w:val="20"/>
              </w:rPr>
              <w:t> </w:t>
            </w:r>
            <w:r>
              <w:rPr>
                <w:sz w:val="20"/>
              </w:rPr>
              <w:t>подршке</w:t>
            </w:r>
            <w:r>
              <w:rPr>
                <w:spacing w:val="33"/>
                <w:sz w:val="20"/>
              </w:rPr>
              <w:t> </w:t>
            </w:r>
            <w:r>
              <w:rPr>
                <w:sz w:val="20"/>
              </w:rPr>
              <w:t>лицима</w:t>
            </w:r>
            <w:r>
              <w:rPr>
                <w:spacing w:val="34"/>
                <w:sz w:val="20"/>
              </w:rPr>
              <w:t> </w:t>
            </w:r>
            <w:r>
              <w:rPr>
                <w:sz w:val="20"/>
              </w:rPr>
              <w:t>која</w:t>
            </w:r>
            <w:r>
              <w:rPr>
                <w:spacing w:val="31"/>
                <w:sz w:val="20"/>
              </w:rPr>
              <w:t> </w:t>
            </w:r>
            <w:r>
              <w:rPr>
                <w:sz w:val="20"/>
              </w:rPr>
              <w:t>су</w:t>
            </w:r>
            <w:r>
              <w:rPr>
                <w:spacing w:val="32"/>
                <w:sz w:val="20"/>
              </w:rPr>
              <w:t> </w:t>
            </w:r>
            <w:r>
              <w:rPr>
                <w:sz w:val="20"/>
              </w:rPr>
              <w:t>у</w:t>
            </w:r>
            <w:r>
              <w:rPr>
                <w:spacing w:val="31"/>
                <w:sz w:val="20"/>
              </w:rPr>
              <w:t> </w:t>
            </w:r>
            <w:r>
              <w:rPr>
                <w:spacing w:val="-2"/>
                <w:sz w:val="20"/>
              </w:rPr>
              <w:t>неповољнијем</w:t>
            </w:r>
          </w:p>
          <w:p>
            <w:pPr>
              <w:pStyle w:val="TableParagraph"/>
              <w:spacing w:line="214" w:lineRule="exact"/>
              <w:ind w:left="100"/>
              <w:jc w:val="both"/>
              <w:rPr>
                <w:sz w:val="20"/>
              </w:rPr>
            </w:pPr>
            <w:r>
              <w:rPr>
                <w:sz w:val="20"/>
              </w:rPr>
              <w:t>положају</w:t>
            </w:r>
            <w:r>
              <w:rPr>
                <w:spacing w:val="-10"/>
                <w:sz w:val="20"/>
              </w:rPr>
              <w:t> </w:t>
            </w:r>
            <w:r>
              <w:rPr>
                <w:sz w:val="20"/>
              </w:rPr>
              <w:t>на</w:t>
            </w:r>
            <w:r>
              <w:rPr>
                <w:spacing w:val="-3"/>
                <w:sz w:val="20"/>
              </w:rPr>
              <w:t> </w:t>
            </w:r>
            <w:r>
              <w:rPr>
                <w:sz w:val="20"/>
              </w:rPr>
              <w:t>тржишту</w:t>
            </w:r>
            <w:r>
              <w:rPr>
                <w:spacing w:val="-6"/>
                <w:sz w:val="20"/>
              </w:rPr>
              <w:t> </w:t>
            </w:r>
            <w:r>
              <w:rPr>
                <w:spacing w:val="-2"/>
                <w:sz w:val="20"/>
              </w:rPr>
              <w:t>рада.</w:t>
            </w:r>
          </w:p>
        </w:tc>
        <w:tc>
          <w:tcPr>
            <w:tcW w:w="3985" w:type="dxa"/>
            <w:tcBorders>
              <w:left w:val="single" w:sz="6" w:space="0" w:color="000000"/>
            </w:tcBorders>
          </w:tcPr>
          <w:p>
            <w:pPr>
              <w:pStyle w:val="TableParagraph"/>
              <w:spacing w:line="226" w:lineRule="exact"/>
              <w:ind w:left="99"/>
              <w:rPr>
                <w:sz w:val="20"/>
              </w:rPr>
            </w:pPr>
            <w:r>
              <w:rPr>
                <w:spacing w:val="-2"/>
                <w:sz w:val="20"/>
              </w:rPr>
              <w:t>Унапређење</w:t>
            </w:r>
            <w:r>
              <w:rPr>
                <w:spacing w:val="9"/>
                <w:sz w:val="20"/>
              </w:rPr>
              <w:t> </w:t>
            </w:r>
            <w:r>
              <w:rPr>
                <w:spacing w:val="-2"/>
                <w:sz w:val="20"/>
              </w:rPr>
              <w:t>законодавног</w:t>
            </w:r>
            <w:r>
              <w:rPr>
                <w:spacing w:val="8"/>
                <w:sz w:val="20"/>
              </w:rPr>
              <w:t> </w:t>
            </w:r>
            <w:r>
              <w:rPr>
                <w:spacing w:val="-2"/>
                <w:sz w:val="20"/>
              </w:rPr>
              <w:t>оквира</w:t>
            </w:r>
          </w:p>
        </w:tc>
      </w:tr>
      <w:tr>
        <w:trPr>
          <w:trHeight w:val="1383" w:hRule="atLeast"/>
        </w:trPr>
        <w:tc>
          <w:tcPr>
            <w:tcW w:w="1109" w:type="dxa"/>
            <w:tcBorders>
              <w:right w:val="single" w:sz="6" w:space="0" w:color="000000"/>
            </w:tcBorders>
          </w:tcPr>
          <w:p>
            <w:pPr>
              <w:pStyle w:val="TableParagraph"/>
              <w:ind w:left="50" w:right="112"/>
              <w:rPr>
                <w:b/>
                <w:sz w:val="20"/>
              </w:rPr>
            </w:pPr>
            <w:r>
              <w:rPr>
                <w:b/>
                <w:spacing w:val="-2"/>
                <w:sz w:val="20"/>
              </w:rPr>
              <w:t>Узрок/ последица</w:t>
            </w:r>
          </w:p>
        </w:tc>
        <w:tc>
          <w:tcPr>
            <w:tcW w:w="4960" w:type="dxa"/>
            <w:tcBorders>
              <w:left w:val="single" w:sz="6" w:space="0" w:color="000000"/>
              <w:right w:val="single" w:sz="6" w:space="0" w:color="000000"/>
            </w:tcBorders>
          </w:tcPr>
          <w:p>
            <w:pPr>
              <w:pStyle w:val="TableParagraph"/>
              <w:ind w:left="100" w:right="102"/>
              <w:jc w:val="both"/>
              <w:rPr>
                <w:sz w:val="20"/>
              </w:rPr>
            </w:pPr>
            <w:r>
              <w:rPr>
                <w:sz w:val="20"/>
              </w:rPr>
              <w:t>Носиоци послова запошљавања укључени су у све делове</w:t>
            </w:r>
            <w:r>
              <w:rPr>
                <w:spacing w:val="-1"/>
                <w:sz w:val="20"/>
              </w:rPr>
              <w:t> </w:t>
            </w:r>
            <w:r>
              <w:rPr>
                <w:sz w:val="20"/>
              </w:rPr>
              <w:t>процеса</w:t>
            </w:r>
            <w:r>
              <w:rPr>
                <w:spacing w:val="-3"/>
                <w:sz w:val="20"/>
              </w:rPr>
              <w:t> </w:t>
            </w:r>
            <w:r>
              <w:rPr>
                <w:sz w:val="20"/>
              </w:rPr>
              <w:t>пружања услуга незапосленим</w:t>
            </w:r>
            <w:r>
              <w:rPr>
                <w:spacing w:val="-2"/>
                <w:sz w:val="20"/>
              </w:rPr>
              <w:t> </w:t>
            </w:r>
            <w:r>
              <w:rPr>
                <w:sz w:val="20"/>
              </w:rPr>
              <w:t>лицима, у дизајнирање, управљање, спровођење, праћење спровођења и процену ефеката мера АПЗ. Самим тим потребно</w:t>
            </w:r>
            <w:r>
              <w:rPr>
                <w:spacing w:val="58"/>
                <w:w w:val="150"/>
                <w:sz w:val="20"/>
              </w:rPr>
              <w:t> </w:t>
            </w:r>
            <w:r>
              <w:rPr>
                <w:sz w:val="20"/>
              </w:rPr>
              <w:t>је</w:t>
            </w:r>
            <w:r>
              <w:rPr>
                <w:spacing w:val="58"/>
                <w:w w:val="150"/>
                <w:sz w:val="20"/>
              </w:rPr>
              <w:t> </w:t>
            </w:r>
            <w:r>
              <w:rPr>
                <w:sz w:val="20"/>
              </w:rPr>
              <w:t>њихову</w:t>
            </w:r>
            <w:r>
              <w:rPr>
                <w:spacing w:val="58"/>
                <w:w w:val="150"/>
                <w:sz w:val="20"/>
              </w:rPr>
              <w:t> </w:t>
            </w:r>
            <w:r>
              <w:rPr>
                <w:sz w:val="20"/>
              </w:rPr>
              <w:t>улогу</w:t>
            </w:r>
            <w:r>
              <w:rPr>
                <w:spacing w:val="56"/>
                <w:w w:val="150"/>
                <w:sz w:val="20"/>
              </w:rPr>
              <w:t> </w:t>
            </w:r>
            <w:r>
              <w:rPr>
                <w:sz w:val="20"/>
              </w:rPr>
              <w:t>и</w:t>
            </w:r>
            <w:r>
              <w:rPr>
                <w:spacing w:val="56"/>
                <w:w w:val="150"/>
                <w:sz w:val="20"/>
              </w:rPr>
              <w:t> </w:t>
            </w:r>
            <w:r>
              <w:rPr>
                <w:sz w:val="20"/>
              </w:rPr>
              <w:t>одговорности</w:t>
            </w:r>
            <w:r>
              <w:rPr>
                <w:spacing w:val="57"/>
                <w:w w:val="150"/>
                <w:sz w:val="20"/>
              </w:rPr>
              <w:t> </w:t>
            </w:r>
            <w:r>
              <w:rPr>
                <w:spacing w:val="-2"/>
                <w:sz w:val="20"/>
              </w:rPr>
              <w:t>стално</w:t>
            </w:r>
          </w:p>
          <w:p>
            <w:pPr>
              <w:pStyle w:val="TableParagraph"/>
              <w:spacing w:line="217" w:lineRule="exact"/>
              <w:ind w:left="100"/>
              <w:jc w:val="both"/>
              <w:rPr>
                <w:sz w:val="20"/>
              </w:rPr>
            </w:pPr>
            <w:r>
              <w:rPr>
                <w:sz w:val="20"/>
              </w:rPr>
              <w:t>преиспитивати,</w:t>
            </w:r>
            <w:r>
              <w:rPr>
                <w:spacing w:val="-5"/>
                <w:sz w:val="20"/>
              </w:rPr>
              <w:t> </w:t>
            </w:r>
            <w:r>
              <w:rPr>
                <w:sz w:val="20"/>
              </w:rPr>
              <w:t>па</w:t>
            </w:r>
            <w:r>
              <w:rPr>
                <w:spacing w:val="-5"/>
                <w:sz w:val="20"/>
              </w:rPr>
              <w:t> </w:t>
            </w:r>
            <w:r>
              <w:rPr>
                <w:sz w:val="20"/>
              </w:rPr>
              <w:t>и</w:t>
            </w:r>
            <w:r>
              <w:rPr>
                <w:spacing w:val="-5"/>
                <w:sz w:val="20"/>
              </w:rPr>
              <w:t> </w:t>
            </w:r>
            <w:r>
              <w:rPr>
                <w:sz w:val="20"/>
              </w:rPr>
              <w:t>у</w:t>
            </w:r>
            <w:r>
              <w:rPr>
                <w:spacing w:val="-7"/>
                <w:sz w:val="20"/>
              </w:rPr>
              <w:t> </w:t>
            </w:r>
            <w:r>
              <w:rPr>
                <w:sz w:val="20"/>
              </w:rPr>
              <w:t>погледу</w:t>
            </w:r>
            <w:r>
              <w:rPr>
                <w:spacing w:val="-9"/>
                <w:sz w:val="20"/>
              </w:rPr>
              <w:t> </w:t>
            </w:r>
            <w:r>
              <w:rPr>
                <w:sz w:val="20"/>
              </w:rPr>
              <w:t>јачања</w:t>
            </w:r>
            <w:r>
              <w:rPr>
                <w:spacing w:val="-6"/>
                <w:sz w:val="20"/>
              </w:rPr>
              <w:t> </w:t>
            </w:r>
            <w:r>
              <w:rPr>
                <w:spacing w:val="-2"/>
                <w:sz w:val="20"/>
              </w:rPr>
              <w:t>капацитета.</w:t>
            </w:r>
          </w:p>
        </w:tc>
        <w:tc>
          <w:tcPr>
            <w:tcW w:w="3985" w:type="dxa"/>
            <w:tcBorders>
              <w:left w:val="single" w:sz="6" w:space="0" w:color="000000"/>
            </w:tcBorders>
          </w:tcPr>
          <w:p>
            <w:pPr>
              <w:pStyle w:val="TableParagraph"/>
              <w:tabs>
                <w:tab w:pos="965" w:val="left" w:leader="none"/>
                <w:tab w:pos="2186" w:val="left" w:leader="none"/>
                <w:tab w:pos="3246" w:val="left" w:leader="none"/>
              </w:tabs>
              <w:ind w:left="99" w:right="52"/>
              <w:rPr>
                <w:sz w:val="20"/>
              </w:rPr>
            </w:pPr>
            <w:r>
              <w:rPr>
                <w:spacing w:val="-2"/>
                <w:sz w:val="20"/>
              </w:rPr>
              <w:t>Јачање</w:t>
            </w:r>
            <w:r>
              <w:rPr>
                <w:sz w:val="20"/>
              </w:rPr>
              <w:tab/>
            </w:r>
            <w:r>
              <w:rPr>
                <w:spacing w:val="-2"/>
                <w:sz w:val="20"/>
              </w:rPr>
              <w:t>капацитета</w:t>
            </w:r>
            <w:r>
              <w:rPr>
                <w:sz w:val="20"/>
              </w:rPr>
              <w:tab/>
            </w:r>
            <w:r>
              <w:rPr>
                <w:spacing w:val="-2"/>
                <w:sz w:val="20"/>
              </w:rPr>
              <w:t>носилаца</w:t>
            </w:r>
            <w:r>
              <w:rPr>
                <w:sz w:val="20"/>
              </w:rPr>
              <w:tab/>
            </w:r>
            <w:r>
              <w:rPr>
                <w:spacing w:val="-2"/>
                <w:sz w:val="20"/>
              </w:rPr>
              <w:t>послова запошљавања</w:t>
            </w:r>
          </w:p>
        </w:tc>
      </w:tr>
    </w:tbl>
    <w:p>
      <w:pPr>
        <w:pStyle w:val="BodyText"/>
        <w:spacing w:before="12"/>
        <w:ind w:left="0"/>
        <w:jc w:val="left"/>
      </w:pPr>
    </w:p>
    <w:p>
      <w:pPr>
        <w:pStyle w:val="BodyText"/>
        <w:ind w:right="711" w:firstLine="712"/>
      </w:pPr>
      <w:r>
        <w:rPr/>
        <w:t>Заинтересоване</w:t>
      </w:r>
      <w:r>
        <w:rPr>
          <w:spacing w:val="-9"/>
        </w:rPr>
        <w:t> </w:t>
      </w:r>
      <w:r>
        <w:rPr/>
        <w:t>стране</w:t>
      </w:r>
      <w:r>
        <w:rPr>
          <w:spacing w:val="-8"/>
        </w:rPr>
        <w:t> </w:t>
      </w:r>
      <w:r>
        <w:rPr/>
        <w:t>јесу</w:t>
      </w:r>
      <w:r>
        <w:rPr>
          <w:spacing w:val="-13"/>
        </w:rPr>
        <w:t> </w:t>
      </w:r>
      <w:r>
        <w:rPr/>
        <w:t>органи,</w:t>
      </w:r>
      <w:r>
        <w:rPr>
          <w:spacing w:val="-8"/>
        </w:rPr>
        <w:t> </w:t>
      </w:r>
      <w:r>
        <w:rPr/>
        <w:t>организације,</w:t>
      </w:r>
      <w:r>
        <w:rPr>
          <w:spacing w:val="-8"/>
        </w:rPr>
        <w:t> </w:t>
      </w:r>
      <w:r>
        <w:rPr/>
        <w:t>физичка</w:t>
      </w:r>
      <w:r>
        <w:rPr>
          <w:spacing w:val="-12"/>
        </w:rPr>
        <w:t> </w:t>
      </w:r>
      <w:r>
        <w:rPr/>
        <w:t>и</w:t>
      </w:r>
      <w:r>
        <w:rPr>
          <w:spacing w:val="-5"/>
        </w:rPr>
        <w:t> </w:t>
      </w:r>
      <w:r>
        <w:rPr/>
        <w:t>правна</w:t>
      </w:r>
      <w:r>
        <w:rPr>
          <w:spacing w:val="-9"/>
        </w:rPr>
        <w:t> </w:t>
      </w:r>
      <w:r>
        <w:rPr/>
        <w:t>лица,</w:t>
      </w:r>
      <w:r>
        <w:rPr>
          <w:spacing w:val="-6"/>
        </w:rPr>
        <w:t> </w:t>
      </w:r>
      <w:r>
        <w:rPr/>
        <w:t>удружења, организације цивлног друштва и друге заинтересоване стране које имају интерес у вези са мерама дефинисаним у Стратегији, односно сви они који су заинтересовани за учешће у њеној изради кроз процес консултација:</w:t>
      </w:r>
    </w:p>
    <w:p>
      <w:pPr>
        <w:pStyle w:val="ListParagraph"/>
        <w:numPr>
          <w:ilvl w:val="0"/>
          <w:numId w:val="4"/>
        </w:numPr>
        <w:tabs>
          <w:tab w:pos="1080" w:val="left" w:leader="none"/>
        </w:tabs>
        <w:spacing w:line="240" w:lineRule="auto" w:before="120" w:after="0"/>
        <w:ind w:left="1080" w:right="714" w:hanging="360"/>
        <w:jc w:val="both"/>
        <w:rPr>
          <w:sz w:val="24"/>
        </w:rPr>
      </w:pPr>
      <w:r>
        <w:rPr>
          <w:sz w:val="24"/>
        </w:rPr>
        <w:t>Доносиоци одлука на националном и локалном нивоу (Министарство за рад, запошљавање, борачка и социјална питања; Министарство омладине и спорта; Министарство просвете, науке и технолошког развоја; Министарство привреде; Министарство финансија; Национална служба за запошљавање; Агенција за квалификације; јединице локалних самоуправа);</w:t>
      </w:r>
    </w:p>
    <w:p>
      <w:pPr>
        <w:pStyle w:val="ListParagraph"/>
        <w:numPr>
          <w:ilvl w:val="0"/>
          <w:numId w:val="4"/>
        </w:numPr>
        <w:tabs>
          <w:tab w:pos="1080" w:val="left" w:leader="none"/>
        </w:tabs>
        <w:spacing w:line="240" w:lineRule="auto" w:before="1" w:after="0"/>
        <w:ind w:left="1080" w:right="720" w:hanging="360"/>
        <w:jc w:val="both"/>
        <w:rPr>
          <w:sz w:val="24"/>
        </w:rPr>
      </w:pPr>
      <w:r>
        <w:rPr>
          <w:sz w:val="24"/>
        </w:rPr>
        <w:t>Репрезентативне организације које заступају интересе кључних актера на тржишту рада – социјални партнери (синдикати; организације послодаваца, укључујући и коморе како домаћих, тако и иностраних фирми);</w:t>
      </w:r>
    </w:p>
    <w:p>
      <w:pPr>
        <w:pStyle w:val="ListParagraph"/>
        <w:numPr>
          <w:ilvl w:val="0"/>
          <w:numId w:val="4"/>
        </w:numPr>
        <w:tabs>
          <w:tab w:pos="1080" w:val="left" w:leader="none"/>
        </w:tabs>
        <w:spacing w:line="240" w:lineRule="auto" w:before="0" w:after="0"/>
        <w:ind w:left="1080" w:right="722" w:hanging="360"/>
        <w:jc w:val="both"/>
        <w:rPr>
          <w:sz w:val="24"/>
        </w:rPr>
      </w:pPr>
      <w:r>
        <w:rPr>
          <w:sz w:val="24"/>
        </w:rPr>
        <w:t>Невладин сектор (организације цивилног друштва које се баве питањима запошљавања, али и положајем и правима рањивих група);</w:t>
      </w:r>
    </w:p>
    <w:p>
      <w:pPr>
        <w:pStyle w:val="ListParagraph"/>
        <w:numPr>
          <w:ilvl w:val="0"/>
          <w:numId w:val="4"/>
        </w:numPr>
        <w:tabs>
          <w:tab w:pos="1079" w:val="left" w:leader="none"/>
        </w:tabs>
        <w:spacing w:line="274" w:lineRule="exact" w:before="0" w:after="0"/>
        <w:ind w:left="1079" w:right="0" w:hanging="359"/>
        <w:jc w:val="both"/>
        <w:rPr>
          <w:sz w:val="24"/>
        </w:rPr>
      </w:pPr>
      <w:r>
        <w:rPr>
          <w:sz w:val="24"/>
        </w:rPr>
        <w:t>Агенције</w:t>
      </w:r>
      <w:r>
        <w:rPr>
          <w:spacing w:val="-1"/>
          <w:sz w:val="24"/>
        </w:rPr>
        <w:t> </w:t>
      </w:r>
      <w:r>
        <w:rPr>
          <w:sz w:val="24"/>
        </w:rPr>
        <w:t>за</w:t>
      </w:r>
      <w:r>
        <w:rPr>
          <w:spacing w:val="-2"/>
          <w:sz w:val="24"/>
        </w:rPr>
        <w:t> запошљавање;</w:t>
      </w:r>
    </w:p>
    <w:p>
      <w:pPr>
        <w:pStyle w:val="ListParagraph"/>
        <w:numPr>
          <w:ilvl w:val="0"/>
          <w:numId w:val="4"/>
        </w:numPr>
        <w:tabs>
          <w:tab w:pos="1079" w:val="left" w:leader="none"/>
        </w:tabs>
        <w:spacing w:line="240" w:lineRule="auto" w:before="0" w:after="0"/>
        <w:ind w:left="1079" w:right="0" w:hanging="359"/>
        <w:jc w:val="both"/>
        <w:rPr>
          <w:sz w:val="24"/>
        </w:rPr>
      </w:pPr>
      <w:r>
        <w:rPr>
          <w:sz w:val="24"/>
        </w:rPr>
        <w:t>Међународне</w:t>
      </w:r>
      <w:r>
        <w:rPr>
          <w:spacing w:val="-6"/>
          <w:sz w:val="24"/>
        </w:rPr>
        <w:t> </w:t>
      </w:r>
      <w:r>
        <w:rPr>
          <w:sz w:val="24"/>
        </w:rPr>
        <w:t>организације</w:t>
      </w:r>
      <w:r>
        <w:rPr>
          <w:spacing w:val="-3"/>
          <w:sz w:val="24"/>
        </w:rPr>
        <w:t> </w:t>
      </w:r>
      <w:r>
        <w:rPr>
          <w:sz w:val="24"/>
        </w:rPr>
        <w:t>и</w:t>
      </w:r>
      <w:r>
        <w:rPr>
          <w:spacing w:val="-1"/>
          <w:sz w:val="24"/>
        </w:rPr>
        <w:t> </w:t>
      </w:r>
      <w:r>
        <w:rPr>
          <w:sz w:val="24"/>
        </w:rPr>
        <w:t>донаторска</w:t>
      </w:r>
      <w:r>
        <w:rPr>
          <w:spacing w:val="-2"/>
          <w:sz w:val="24"/>
        </w:rPr>
        <w:t> заједница;</w:t>
      </w:r>
    </w:p>
    <w:p>
      <w:pPr>
        <w:pStyle w:val="ListParagraph"/>
        <w:numPr>
          <w:ilvl w:val="0"/>
          <w:numId w:val="4"/>
        </w:numPr>
        <w:tabs>
          <w:tab w:pos="1080" w:val="left" w:leader="none"/>
        </w:tabs>
        <w:spacing w:line="240" w:lineRule="auto" w:before="0" w:after="0"/>
        <w:ind w:left="1080" w:right="713" w:hanging="360"/>
        <w:jc w:val="both"/>
        <w:rPr>
          <w:sz w:val="24"/>
        </w:rPr>
      </w:pPr>
      <w:r>
        <w:rPr>
          <w:sz w:val="24"/>
        </w:rPr>
        <w:t>Корисници мера политике запошљавања - циљне групе</w:t>
      </w:r>
      <w:r>
        <w:rPr>
          <w:sz w:val="24"/>
          <w:vertAlign w:val="superscript"/>
        </w:rPr>
        <w:t>34</w:t>
      </w:r>
      <w:r>
        <w:rPr>
          <w:sz w:val="24"/>
          <w:vertAlign w:val="baseline"/>
        </w:rPr>
        <w:t>: лица која траже посао, незапослена</w:t>
      </w:r>
      <w:r>
        <w:rPr>
          <w:spacing w:val="-15"/>
          <w:sz w:val="24"/>
          <w:vertAlign w:val="baseline"/>
        </w:rPr>
        <w:t> </w:t>
      </w:r>
      <w:r>
        <w:rPr>
          <w:sz w:val="24"/>
          <w:vertAlign w:val="baseline"/>
        </w:rPr>
        <w:t>лица,</w:t>
      </w:r>
      <w:r>
        <w:rPr>
          <w:spacing w:val="-15"/>
          <w:sz w:val="24"/>
          <w:vertAlign w:val="baseline"/>
        </w:rPr>
        <w:t> </w:t>
      </w:r>
      <w:r>
        <w:rPr>
          <w:sz w:val="24"/>
          <w:vertAlign w:val="baseline"/>
        </w:rPr>
        <w:t>неактивна</w:t>
      </w:r>
      <w:r>
        <w:rPr>
          <w:spacing w:val="-15"/>
          <w:sz w:val="24"/>
          <w:vertAlign w:val="baseline"/>
        </w:rPr>
        <w:t> </w:t>
      </w:r>
      <w:r>
        <w:rPr>
          <w:sz w:val="24"/>
          <w:vertAlign w:val="baseline"/>
        </w:rPr>
        <w:t>лица,</w:t>
      </w:r>
      <w:r>
        <w:rPr>
          <w:spacing w:val="-15"/>
          <w:sz w:val="24"/>
          <w:vertAlign w:val="baseline"/>
        </w:rPr>
        <w:t> </w:t>
      </w:r>
      <w:r>
        <w:rPr>
          <w:sz w:val="24"/>
          <w:vertAlign w:val="baseline"/>
        </w:rPr>
        <w:t>запослени,</w:t>
      </w:r>
      <w:r>
        <w:rPr>
          <w:spacing w:val="-15"/>
          <w:sz w:val="24"/>
          <w:vertAlign w:val="baseline"/>
        </w:rPr>
        <w:t> </w:t>
      </w:r>
      <w:r>
        <w:rPr>
          <w:sz w:val="24"/>
          <w:vertAlign w:val="baseline"/>
        </w:rPr>
        <w:t>послодавци,</w:t>
      </w:r>
      <w:r>
        <w:rPr>
          <w:spacing w:val="-15"/>
          <w:sz w:val="24"/>
          <w:vertAlign w:val="baseline"/>
        </w:rPr>
        <w:t> </w:t>
      </w:r>
      <w:r>
        <w:rPr>
          <w:sz w:val="24"/>
          <w:vertAlign w:val="baseline"/>
        </w:rPr>
        <w:t>организатори</w:t>
      </w:r>
      <w:r>
        <w:rPr>
          <w:spacing w:val="-15"/>
          <w:sz w:val="24"/>
          <w:vertAlign w:val="baseline"/>
        </w:rPr>
        <w:t> </w:t>
      </w:r>
      <w:r>
        <w:rPr>
          <w:sz w:val="24"/>
          <w:vertAlign w:val="baseline"/>
        </w:rPr>
        <w:t>образовања </w:t>
      </w:r>
      <w:r>
        <w:rPr>
          <w:spacing w:val="-2"/>
          <w:sz w:val="24"/>
          <w:vertAlign w:val="baseline"/>
        </w:rPr>
        <w:t>одраслих.</w:t>
      </w:r>
    </w:p>
    <w:p>
      <w:pPr>
        <w:pStyle w:val="BodyText"/>
        <w:spacing w:before="5"/>
        <w:ind w:left="0"/>
        <w:jc w:val="left"/>
      </w:pPr>
    </w:p>
    <w:p>
      <w:pPr>
        <w:pStyle w:val="Heading2"/>
        <w:numPr>
          <w:ilvl w:val="1"/>
          <w:numId w:val="1"/>
        </w:numPr>
        <w:tabs>
          <w:tab w:pos="1500" w:val="left" w:leader="none"/>
        </w:tabs>
        <w:spacing w:line="240" w:lineRule="auto" w:before="0" w:after="0"/>
        <w:ind w:left="1500" w:right="0" w:hanging="420"/>
        <w:jc w:val="left"/>
      </w:pPr>
      <w:r>
        <w:rPr/>
        <w:t>Упоредна</w:t>
      </w:r>
      <w:r>
        <w:rPr>
          <w:spacing w:val="-5"/>
        </w:rPr>
        <w:t> </w:t>
      </w:r>
      <w:r>
        <w:rPr/>
        <w:t>међународна</w:t>
      </w:r>
      <w:r>
        <w:rPr>
          <w:spacing w:val="-4"/>
        </w:rPr>
        <w:t> </w:t>
      </w:r>
      <w:r>
        <w:rPr>
          <w:spacing w:val="-2"/>
        </w:rPr>
        <w:t>пракса</w:t>
      </w:r>
    </w:p>
    <w:p>
      <w:pPr>
        <w:pStyle w:val="BodyText"/>
        <w:spacing w:before="272"/>
        <w:ind w:right="722" w:firstLine="712"/>
      </w:pPr>
      <w:r>
        <w:rPr/>
        <w:t>У</w:t>
      </w:r>
      <w:r>
        <w:rPr>
          <w:spacing w:val="-6"/>
        </w:rPr>
        <w:t> </w:t>
      </w:r>
      <w:r>
        <w:rPr/>
        <w:t>Европској</w:t>
      </w:r>
      <w:r>
        <w:rPr>
          <w:spacing w:val="-4"/>
        </w:rPr>
        <w:t> </w:t>
      </w:r>
      <w:r>
        <w:rPr/>
        <w:t>унији,</w:t>
      </w:r>
      <w:r>
        <w:rPr>
          <w:spacing w:val="-5"/>
        </w:rPr>
        <w:t> </w:t>
      </w:r>
      <w:r>
        <w:rPr/>
        <w:t>одговорност</w:t>
      </w:r>
      <w:r>
        <w:rPr>
          <w:spacing w:val="-6"/>
        </w:rPr>
        <w:t> </w:t>
      </w:r>
      <w:r>
        <w:rPr/>
        <w:t>за</w:t>
      </w:r>
      <w:r>
        <w:rPr>
          <w:spacing w:val="-7"/>
        </w:rPr>
        <w:t> </w:t>
      </w:r>
      <w:r>
        <w:rPr/>
        <w:t>запошљавање</w:t>
      </w:r>
      <w:r>
        <w:rPr>
          <w:spacing w:val="-8"/>
        </w:rPr>
        <w:t> </w:t>
      </w:r>
      <w:r>
        <w:rPr/>
        <w:t>и</w:t>
      </w:r>
      <w:r>
        <w:rPr>
          <w:spacing w:val="-6"/>
        </w:rPr>
        <w:t> </w:t>
      </w:r>
      <w:r>
        <w:rPr/>
        <w:t>социјалну</w:t>
      </w:r>
      <w:r>
        <w:rPr>
          <w:spacing w:val="-14"/>
        </w:rPr>
        <w:t> </w:t>
      </w:r>
      <w:r>
        <w:rPr/>
        <w:t>политику</w:t>
      </w:r>
      <w:r>
        <w:rPr>
          <w:spacing w:val="-9"/>
        </w:rPr>
        <w:t> </w:t>
      </w:r>
      <w:r>
        <w:rPr/>
        <w:t>првенствено је на националним владама, али ЕУ подржава њихове напоре финансирањем из европских фондова, као што су Европски социјални фонд (ESF), Европски фонд за прилагођавање глобализацији (EGF), Програм ЕУ за запошљавање и социјалне иновације (EASI).</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23"/>
        <w:ind w:left="0"/>
        <w:jc w:val="left"/>
        <w:rPr>
          <w:sz w:val="20"/>
        </w:rPr>
      </w:pPr>
      <w:r>
        <w:rPr>
          <w:sz w:val="20"/>
        </w:rPr>
        <mc:AlternateContent>
          <mc:Choice Requires="wps">
            <w:drawing>
              <wp:anchor distT="0" distB="0" distL="0" distR="0" allowOverlap="1" layoutInCell="1" locked="0" behindDoc="1" simplePos="0" relativeHeight="487598592">
                <wp:simplePos x="0" y="0"/>
                <wp:positionH relativeFrom="page">
                  <wp:posOffset>914704</wp:posOffset>
                </wp:positionH>
                <wp:positionV relativeFrom="paragraph">
                  <wp:posOffset>239408</wp:posOffset>
                </wp:positionV>
                <wp:extent cx="1829435" cy="952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8.851074pt;width:144.020pt;height:.71997pt;mso-position-horizontal-relative:page;mso-position-vertical-relative:paragraph;z-index:-15717888;mso-wrap-distance-left:0;mso-wrap-distance-right:0" id="docshape24" filled="true" fillcolor="#000000" stroked="false">
                <v:fill type="solid"/>
                <w10:wrap type="topAndBottom"/>
              </v:rect>
            </w:pict>
          </mc:Fallback>
        </mc:AlternateContent>
      </w:r>
    </w:p>
    <w:p>
      <w:pPr>
        <w:spacing w:line="247" w:lineRule="auto" w:before="115"/>
        <w:ind w:left="360" w:right="713" w:firstLine="0"/>
        <w:jc w:val="left"/>
        <w:rPr>
          <w:sz w:val="18"/>
        </w:rPr>
      </w:pPr>
      <w:r>
        <w:rPr>
          <w:sz w:val="18"/>
          <w:vertAlign w:val="superscript"/>
        </w:rPr>
        <w:t>34</w:t>
      </w:r>
      <w:r>
        <w:rPr>
          <w:sz w:val="18"/>
          <w:vertAlign w:val="baseline"/>
        </w:rPr>
        <w:t> Циљна група јесте група физичких и/или правних лица, односно других заинтересованих страна која је под утицајем мера јавних политика</w:t>
      </w:r>
    </w:p>
    <w:p>
      <w:pPr>
        <w:spacing w:after="0" w:line="247" w:lineRule="auto"/>
        <w:jc w:val="left"/>
        <w:rPr>
          <w:sz w:val="18"/>
        </w:rPr>
        <w:sectPr>
          <w:type w:val="continuous"/>
          <w:pgSz w:w="12240" w:h="15840"/>
          <w:pgMar w:header="0" w:footer="702" w:top="1420" w:bottom="900" w:left="1080" w:right="720"/>
        </w:sectPr>
      </w:pPr>
    </w:p>
    <w:p>
      <w:pPr>
        <w:spacing w:before="72"/>
        <w:ind w:left="360" w:right="716" w:firstLine="719"/>
        <w:jc w:val="both"/>
        <w:rPr>
          <w:sz w:val="24"/>
        </w:rPr>
      </w:pPr>
      <w:r>
        <w:rPr>
          <w:sz w:val="24"/>
        </w:rPr>
        <w:t>ЕУ</w:t>
      </w:r>
      <w:r>
        <w:rPr>
          <w:spacing w:val="-2"/>
          <w:sz w:val="24"/>
        </w:rPr>
        <w:t> </w:t>
      </w:r>
      <w:r>
        <w:rPr>
          <w:sz w:val="24"/>
        </w:rPr>
        <w:t>координира</w:t>
      </w:r>
      <w:r>
        <w:rPr>
          <w:spacing w:val="-3"/>
          <w:sz w:val="24"/>
        </w:rPr>
        <w:t> </w:t>
      </w:r>
      <w:r>
        <w:rPr>
          <w:sz w:val="24"/>
        </w:rPr>
        <w:t>и</w:t>
      </w:r>
      <w:r>
        <w:rPr>
          <w:spacing w:val="-1"/>
          <w:sz w:val="24"/>
        </w:rPr>
        <w:t> </w:t>
      </w:r>
      <w:r>
        <w:rPr>
          <w:sz w:val="24"/>
        </w:rPr>
        <w:t>прати</w:t>
      </w:r>
      <w:r>
        <w:rPr>
          <w:spacing w:val="-3"/>
          <w:sz w:val="24"/>
        </w:rPr>
        <w:t> </w:t>
      </w:r>
      <w:r>
        <w:rPr>
          <w:sz w:val="24"/>
        </w:rPr>
        <w:t>националне</w:t>
      </w:r>
      <w:r>
        <w:rPr>
          <w:spacing w:val="-3"/>
          <w:sz w:val="24"/>
        </w:rPr>
        <w:t> </w:t>
      </w:r>
      <w:r>
        <w:rPr>
          <w:sz w:val="24"/>
        </w:rPr>
        <w:t>политике</w:t>
      </w:r>
      <w:r>
        <w:rPr>
          <w:spacing w:val="-3"/>
          <w:sz w:val="24"/>
        </w:rPr>
        <w:t> </w:t>
      </w:r>
      <w:r>
        <w:rPr>
          <w:sz w:val="24"/>
        </w:rPr>
        <w:t>у</w:t>
      </w:r>
      <w:r>
        <w:rPr>
          <w:spacing w:val="-4"/>
          <w:sz w:val="24"/>
        </w:rPr>
        <w:t> </w:t>
      </w:r>
      <w:r>
        <w:rPr>
          <w:sz w:val="24"/>
        </w:rPr>
        <w:t>области</w:t>
      </w:r>
      <w:r>
        <w:rPr>
          <w:spacing w:val="-1"/>
          <w:sz w:val="24"/>
        </w:rPr>
        <w:t> </w:t>
      </w:r>
      <w:r>
        <w:rPr>
          <w:sz w:val="24"/>
        </w:rPr>
        <w:t>запошљавања, </w:t>
      </w:r>
      <w:r>
        <w:rPr>
          <w:b/>
          <w:sz w:val="24"/>
        </w:rPr>
        <w:t>подстичући земље</w:t>
      </w:r>
      <w:r>
        <w:rPr>
          <w:b/>
          <w:spacing w:val="-1"/>
          <w:sz w:val="24"/>
        </w:rPr>
        <w:t> </w:t>
      </w:r>
      <w:r>
        <w:rPr>
          <w:b/>
          <w:sz w:val="24"/>
        </w:rPr>
        <w:t>чланице</w:t>
      </w:r>
      <w:r>
        <w:rPr>
          <w:b/>
          <w:spacing w:val="-1"/>
          <w:sz w:val="24"/>
        </w:rPr>
        <w:t> </w:t>
      </w:r>
      <w:r>
        <w:rPr>
          <w:b/>
          <w:sz w:val="24"/>
        </w:rPr>
        <w:t>да деле</w:t>
      </w:r>
      <w:r>
        <w:rPr>
          <w:b/>
          <w:spacing w:val="-1"/>
          <w:sz w:val="24"/>
        </w:rPr>
        <w:t> </w:t>
      </w:r>
      <w:r>
        <w:rPr>
          <w:b/>
          <w:sz w:val="24"/>
        </w:rPr>
        <w:t>најбоље</w:t>
      </w:r>
      <w:r>
        <w:rPr>
          <w:b/>
          <w:spacing w:val="-2"/>
          <w:sz w:val="24"/>
        </w:rPr>
        <w:t> </w:t>
      </w:r>
      <w:r>
        <w:rPr>
          <w:b/>
          <w:sz w:val="24"/>
        </w:rPr>
        <w:t>праксе </w:t>
      </w:r>
      <w:r>
        <w:rPr>
          <w:sz w:val="24"/>
        </w:rPr>
        <w:t>у</w:t>
      </w:r>
      <w:r>
        <w:rPr>
          <w:spacing w:val="-6"/>
          <w:sz w:val="24"/>
        </w:rPr>
        <w:t> </w:t>
      </w:r>
      <w:r>
        <w:rPr>
          <w:sz w:val="24"/>
        </w:rPr>
        <w:t>области запошљавања, социјалне укључености, сиромаштва и пензија (кроз платформу </w:t>
      </w:r>
      <w:r>
        <w:rPr>
          <w:i/>
          <w:sz w:val="24"/>
        </w:rPr>
        <w:t>Mutual Learning Programme</w:t>
      </w:r>
      <w:r>
        <w:rPr>
          <w:sz w:val="24"/>
        </w:rPr>
        <w:t>).</w:t>
      </w:r>
    </w:p>
    <w:p>
      <w:pPr>
        <w:pStyle w:val="BodyText"/>
        <w:spacing w:before="120"/>
        <w:ind w:right="717" w:firstLine="712"/>
      </w:pPr>
      <w:r>
        <w:rPr/>
        <w:t>Координација националних политика и њихово усаглашавање врши се кроз </w:t>
      </w:r>
      <w:r>
        <w:rPr>
          <w:b/>
        </w:rPr>
        <w:t>Европски семестар</w:t>
      </w:r>
      <w:r>
        <w:rPr/>
        <w:t>, годишњи процес који промовише блиску координацију економских политика</w:t>
      </w:r>
      <w:r>
        <w:rPr>
          <w:spacing w:val="-7"/>
        </w:rPr>
        <w:t> </w:t>
      </w:r>
      <w:r>
        <w:rPr/>
        <w:t>и</w:t>
      </w:r>
      <w:r>
        <w:rPr>
          <w:spacing w:val="-7"/>
        </w:rPr>
        <w:t> </w:t>
      </w:r>
      <w:r>
        <w:rPr/>
        <w:t>политика</w:t>
      </w:r>
      <w:r>
        <w:rPr>
          <w:spacing w:val="-6"/>
        </w:rPr>
        <w:t> </w:t>
      </w:r>
      <w:r>
        <w:rPr/>
        <w:t>запошљавања</w:t>
      </w:r>
      <w:r>
        <w:rPr>
          <w:spacing w:val="-4"/>
        </w:rPr>
        <w:t> </w:t>
      </w:r>
      <w:r>
        <w:rPr/>
        <w:t>између</w:t>
      </w:r>
      <w:r>
        <w:rPr>
          <w:spacing w:val="-11"/>
        </w:rPr>
        <w:t> </w:t>
      </w:r>
      <w:r>
        <w:rPr/>
        <w:t>држава</w:t>
      </w:r>
      <w:r>
        <w:rPr>
          <w:spacing w:val="-7"/>
        </w:rPr>
        <w:t> </w:t>
      </w:r>
      <w:r>
        <w:rPr/>
        <w:t>чланица</w:t>
      </w:r>
      <w:r>
        <w:rPr>
          <w:spacing w:val="-7"/>
        </w:rPr>
        <w:t> </w:t>
      </w:r>
      <w:r>
        <w:rPr/>
        <w:t>ЕУ</w:t>
      </w:r>
      <w:r>
        <w:rPr>
          <w:spacing w:val="-6"/>
        </w:rPr>
        <w:t> </w:t>
      </w:r>
      <w:r>
        <w:rPr/>
        <w:t>и</w:t>
      </w:r>
      <w:r>
        <w:rPr>
          <w:spacing w:val="-5"/>
        </w:rPr>
        <w:t> </w:t>
      </w:r>
      <w:r>
        <w:rPr/>
        <w:t>институција</w:t>
      </w:r>
      <w:r>
        <w:rPr>
          <w:spacing w:val="-6"/>
        </w:rPr>
        <w:t> </w:t>
      </w:r>
      <w:r>
        <w:rPr/>
        <w:t>ЕУ.</w:t>
      </w:r>
      <w:r>
        <w:rPr>
          <w:spacing w:val="-6"/>
        </w:rPr>
        <w:t> </w:t>
      </w:r>
      <w:r>
        <w:rPr/>
        <w:t>Примена је подржана радом </w:t>
      </w:r>
      <w:r>
        <w:rPr>
          <w:b/>
        </w:rPr>
        <w:t>Одбора за запошљавање</w:t>
      </w:r>
      <w:r>
        <w:rPr/>
        <w:t>, а укључује следеће кораке:</w:t>
      </w:r>
    </w:p>
    <w:p>
      <w:pPr>
        <w:pStyle w:val="ListParagraph"/>
        <w:numPr>
          <w:ilvl w:val="0"/>
          <w:numId w:val="4"/>
        </w:numPr>
        <w:tabs>
          <w:tab w:pos="1071" w:val="left" w:leader="none"/>
          <w:tab w:pos="1073" w:val="left" w:leader="none"/>
        </w:tabs>
        <w:spacing w:line="240" w:lineRule="auto" w:before="120" w:after="0"/>
        <w:ind w:left="1073" w:right="716" w:hanging="356"/>
        <w:jc w:val="both"/>
        <w:rPr>
          <w:sz w:val="24"/>
        </w:rPr>
      </w:pPr>
      <w:r>
        <w:rPr>
          <w:b/>
          <w:sz w:val="24"/>
        </w:rPr>
        <w:t>Годишња стратегија одрживог раста </w:t>
      </w:r>
      <w:r>
        <w:rPr>
          <w:sz w:val="24"/>
        </w:rPr>
        <w:t>(</w:t>
      </w:r>
      <w:r>
        <w:rPr>
          <w:i/>
          <w:sz w:val="24"/>
        </w:rPr>
        <w:t>Annual Sustainable Growth Strategy</w:t>
      </w:r>
      <w:r>
        <w:rPr>
          <w:sz w:val="24"/>
        </w:rPr>
        <w:t>) садржи приоритете економске и политике запошљавања за ЕУ у</w:t>
      </w:r>
      <w:r>
        <w:rPr>
          <w:spacing w:val="-4"/>
          <w:sz w:val="24"/>
        </w:rPr>
        <w:t> </w:t>
      </w:r>
      <w:r>
        <w:rPr>
          <w:sz w:val="24"/>
        </w:rPr>
        <w:t>наредних 12 до 18 месеци. </w:t>
      </w:r>
      <w:r>
        <w:rPr>
          <w:b/>
          <w:sz w:val="24"/>
        </w:rPr>
        <w:t>Извештај о механизму упозорења </w:t>
      </w:r>
      <w:r>
        <w:rPr>
          <w:sz w:val="24"/>
        </w:rPr>
        <w:t>(</w:t>
      </w:r>
      <w:r>
        <w:rPr>
          <w:i/>
          <w:sz w:val="24"/>
        </w:rPr>
        <w:t>Alert Mechanism Report) </w:t>
      </w:r>
      <w:r>
        <w:rPr>
          <w:sz w:val="24"/>
        </w:rPr>
        <w:t>приказује, на основу дефинисаних показатеља, на које државе чланице могу утицати економске неравнотеже и за које Европска комисија треба да припреми детаљније анализе.</w:t>
      </w:r>
    </w:p>
    <w:p>
      <w:pPr>
        <w:pStyle w:val="ListParagraph"/>
        <w:numPr>
          <w:ilvl w:val="0"/>
          <w:numId w:val="4"/>
        </w:numPr>
        <w:tabs>
          <w:tab w:pos="1071" w:val="left" w:leader="none"/>
          <w:tab w:pos="1073" w:val="left" w:leader="none"/>
        </w:tabs>
        <w:spacing w:line="240" w:lineRule="auto" w:before="61" w:after="0"/>
        <w:ind w:left="1073" w:right="717" w:hanging="356"/>
        <w:jc w:val="both"/>
        <w:rPr>
          <w:sz w:val="24"/>
        </w:rPr>
      </w:pPr>
      <w:r>
        <w:rPr>
          <w:b/>
          <w:sz w:val="24"/>
        </w:rPr>
        <w:t>Заједнички извештај о запошљавању </w:t>
      </w:r>
      <w:r>
        <w:rPr>
          <w:sz w:val="24"/>
        </w:rPr>
        <w:t>(</w:t>
      </w:r>
      <w:r>
        <w:rPr>
          <w:i/>
          <w:sz w:val="24"/>
        </w:rPr>
        <w:t>The Joint Employment Report</w:t>
      </w:r>
      <w:r>
        <w:rPr>
          <w:sz w:val="24"/>
        </w:rPr>
        <w:t>) анализира запосленост</w:t>
      </w:r>
      <w:r>
        <w:rPr>
          <w:spacing w:val="-7"/>
          <w:sz w:val="24"/>
        </w:rPr>
        <w:t> </w:t>
      </w:r>
      <w:r>
        <w:rPr>
          <w:sz w:val="24"/>
        </w:rPr>
        <w:t>и</w:t>
      </w:r>
      <w:r>
        <w:rPr>
          <w:spacing w:val="-7"/>
          <w:sz w:val="24"/>
        </w:rPr>
        <w:t> </w:t>
      </w:r>
      <w:r>
        <w:rPr>
          <w:sz w:val="24"/>
        </w:rPr>
        <w:t>социјалну</w:t>
      </w:r>
      <w:r>
        <w:rPr>
          <w:spacing w:val="-11"/>
          <w:sz w:val="24"/>
        </w:rPr>
        <w:t> </w:t>
      </w:r>
      <w:r>
        <w:rPr>
          <w:sz w:val="24"/>
        </w:rPr>
        <w:t>ситуацију</w:t>
      </w:r>
      <w:r>
        <w:rPr>
          <w:spacing w:val="-8"/>
          <w:sz w:val="24"/>
        </w:rPr>
        <w:t> </w:t>
      </w:r>
      <w:r>
        <w:rPr>
          <w:sz w:val="24"/>
        </w:rPr>
        <w:t>у</w:t>
      </w:r>
      <w:r>
        <w:rPr>
          <w:spacing w:val="-13"/>
          <w:sz w:val="24"/>
        </w:rPr>
        <w:t> </w:t>
      </w:r>
      <w:r>
        <w:rPr>
          <w:sz w:val="24"/>
        </w:rPr>
        <w:t>Европи</w:t>
      </w:r>
      <w:r>
        <w:rPr>
          <w:spacing w:val="-7"/>
          <w:sz w:val="24"/>
        </w:rPr>
        <w:t> </w:t>
      </w:r>
      <w:r>
        <w:rPr>
          <w:sz w:val="24"/>
        </w:rPr>
        <w:t>и</w:t>
      </w:r>
      <w:r>
        <w:rPr>
          <w:spacing w:val="-7"/>
          <w:sz w:val="24"/>
        </w:rPr>
        <w:t> </w:t>
      </w:r>
      <w:r>
        <w:rPr>
          <w:sz w:val="24"/>
        </w:rPr>
        <w:t>одговоре</w:t>
      </w:r>
      <w:r>
        <w:rPr>
          <w:spacing w:val="-9"/>
          <w:sz w:val="24"/>
        </w:rPr>
        <w:t> </w:t>
      </w:r>
      <w:r>
        <w:rPr>
          <w:sz w:val="24"/>
        </w:rPr>
        <w:t>националних</w:t>
      </w:r>
      <w:r>
        <w:rPr>
          <w:spacing w:val="-9"/>
          <w:sz w:val="24"/>
        </w:rPr>
        <w:t> </w:t>
      </w:r>
      <w:r>
        <w:rPr>
          <w:sz w:val="24"/>
        </w:rPr>
        <w:t>влада у</w:t>
      </w:r>
      <w:r>
        <w:rPr>
          <w:spacing w:val="-13"/>
          <w:sz w:val="24"/>
        </w:rPr>
        <w:t> </w:t>
      </w:r>
      <w:r>
        <w:rPr>
          <w:sz w:val="24"/>
        </w:rPr>
        <w:t>форми примењених политика. Извештај објављује Европска комисија, а усваја Савет ЕУ.</w:t>
      </w:r>
    </w:p>
    <w:p>
      <w:pPr>
        <w:pStyle w:val="ListParagraph"/>
        <w:numPr>
          <w:ilvl w:val="0"/>
          <w:numId w:val="4"/>
        </w:numPr>
        <w:tabs>
          <w:tab w:pos="1071" w:val="left" w:leader="none"/>
          <w:tab w:pos="1073" w:val="left" w:leader="none"/>
        </w:tabs>
        <w:spacing w:line="240" w:lineRule="auto" w:before="60" w:after="0"/>
        <w:ind w:left="1073" w:right="716" w:hanging="356"/>
        <w:jc w:val="both"/>
        <w:rPr>
          <w:sz w:val="24"/>
        </w:rPr>
      </w:pPr>
      <w:r>
        <w:rPr>
          <w:b/>
          <w:sz w:val="24"/>
        </w:rPr>
        <w:t>Националне</w:t>
      </w:r>
      <w:r>
        <w:rPr>
          <w:b/>
          <w:spacing w:val="-15"/>
          <w:sz w:val="24"/>
        </w:rPr>
        <w:t> </w:t>
      </w:r>
      <w:r>
        <w:rPr>
          <w:b/>
          <w:sz w:val="24"/>
        </w:rPr>
        <w:t>програме</w:t>
      </w:r>
      <w:r>
        <w:rPr>
          <w:b/>
          <w:spacing w:val="-15"/>
          <w:sz w:val="24"/>
        </w:rPr>
        <w:t> </w:t>
      </w:r>
      <w:r>
        <w:rPr>
          <w:b/>
          <w:sz w:val="24"/>
        </w:rPr>
        <w:t>реформи</w:t>
      </w:r>
      <w:r>
        <w:rPr>
          <w:b/>
          <w:spacing w:val="-15"/>
          <w:sz w:val="24"/>
        </w:rPr>
        <w:t> </w:t>
      </w:r>
      <w:r>
        <w:rPr>
          <w:sz w:val="24"/>
        </w:rPr>
        <w:t>(</w:t>
      </w:r>
      <w:r>
        <w:rPr>
          <w:i/>
          <w:sz w:val="24"/>
        </w:rPr>
        <w:t>National</w:t>
      </w:r>
      <w:r>
        <w:rPr>
          <w:i/>
          <w:spacing w:val="-15"/>
          <w:sz w:val="24"/>
        </w:rPr>
        <w:t> </w:t>
      </w:r>
      <w:r>
        <w:rPr>
          <w:i/>
          <w:sz w:val="24"/>
        </w:rPr>
        <w:t>Reform</w:t>
      </w:r>
      <w:r>
        <w:rPr>
          <w:i/>
          <w:spacing w:val="-15"/>
          <w:sz w:val="24"/>
        </w:rPr>
        <w:t> </w:t>
      </w:r>
      <w:r>
        <w:rPr>
          <w:i/>
          <w:sz w:val="24"/>
        </w:rPr>
        <w:t>Programmes</w:t>
      </w:r>
      <w:r>
        <w:rPr>
          <w:sz w:val="24"/>
        </w:rPr>
        <w:t>)</w:t>
      </w:r>
      <w:r>
        <w:rPr>
          <w:spacing w:val="-15"/>
          <w:sz w:val="24"/>
        </w:rPr>
        <w:t> </w:t>
      </w:r>
      <w:r>
        <w:rPr>
          <w:sz w:val="24"/>
        </w:rPr>
        <w:t>подносе</w:t>
      </w:r>
      <w:r>
        <w:rPr>
          <w:spacing w:val="-15"/>
          <w:sz w:val="24"/>
        </w:rPr>
        <w:t> </w:t>
      </w:r>
      <w:r>
        <w:rPr>
          <w:sz w:val="24"/>
        </w:rPr>
        <w:t>националне владе</w:t>
      </w:r>
      <w:r>
        <w:rPr>
          <w:spacing w:val="-8"/>
          <w:sz w:val="24"/>
        </w:rPr>
        <w:t> </w:t>
      </w:r>
      <w:r>
        <w:rPr>
          <w:sz w:val="24"/>
        </w:rPr>
        <w:t>Европској</w:t>
      </w:r>
      <w:r>
        <w:rPr>
          <w:spacing w:val="-7"/>
          <w:sz w:val="24"/>
        </w:rPr>
        <w:t> </w:t>
      </w:r>
      <w:r>
        <w:rPr>
          <w:sz w:val="24"/>
        </w:rPr>
        <w:t>комисији,</w:t>
      </w:r>
      <w:r>
        <w:rPr>
          <w:spacing w:val="-7"/>
          <w:sz w:val="24"/>
        </w:rPr>
        <w:t> </w:t>
      </w:r>
      <w:r>
        <w:rPr>
          <w:sz w:val="24"/>
        </w:rPr>
        <w:t>а</w:t>
      </w:r>
      <w:r>
        <w:rPr>
          <w:spacing w:val="-6"/>
          <w:sz w:val="24"/>
        </w:rPr>
        <w:t> </w:t>
      </w:r>
      <w:r>
        <w:rPr>
          <w:sz w:val="24"/>
        </w:rPr>
        <w:t>у</w:t>
      </w:r>
      <w:r>
        <w:rPr>
          <w:spacing w:val="-12"/>
          <w:sz w:val="24"/>
        </w:rPr>
        <w:t> </w:t>
      </w:r>
      <w:r>
        <w:rPr>
          <w:sz w:val="24"/>
        </w:rPr>
        <w:t>њима</w:t>
      </w:r>
      <w:r>
        <w:rPr>
          <w:spacing w:val="-6"/>
          <w:sz w:val="24"/>
        </w:rPr>
        <w:t> </w:t>
      </w:r>
      <w:r>
        <w:rPr>
          <w:sz w:val="24"/>
        </w:rPr>
        <w:t>су</w:t>
      </w:r>
      <w:r>
        <w:rPr>
          <w:spacing w:val="-12"/>
          <w:sz w:val="24"/>
        </w:rPr>
        <w:t> </w:t>
      </w:r>
      <w:r>
        <w:rPr>
          <w:sz w:val="24"/>
        </w:rPr>
        <w:t>детаљно</w:t>
      </w:r>
      <w:r>
        <w:rPr>
          <w:spacing w:val="-7"/>
          <w:sz w:val="24"/>
        </w:rPr>
        <w:t> </w:t>
      </w:r>
      <w:r>
        <w:rPr>
          <w:sz w:val="24"/>
        </w:rPr>
        <w:t>описане</w:t>
      </w:r>
      <w:r>
        <w:rPr>
          <w:spacing w:val="-6"/>
          <w:sz w:val="24"/>
        </w:rPr>
        <w:t> </w:t>
      </w:r>
      <w:r>
        <w:rPr>
          <w:sz w:val="24"/>
        </w:rPr>
        <w:t>економске</w:t>
      </w:r>
      <w:r>
        <w:rPr>
          <w:spacing w:val="-8"/>
          <w:sz w:val="24"/>
        </w:rPr>
        <w:t> </w:t>
      </w:r>
      <w:r>
        <w:rPr>
          <w:sz w:val="24"/>
        </w:rPr>
        <w:t>политике</w:t>
      </w:r>
      <w:r>
        <w:rPr>
          <w:spacing w:val="-8"/>
          <w:sz w:val="24"/>
        </w:rPr>
        <w:t> </w:t>
      </w:r>
      <w:r>
        <w:rPr>
          <w:sz w:val="24"/>
        </w:rPr>
        <w:t>које</w:t>
      </w:r>
      <w:r>
        <w:rPr>
          <w:spacing w:val="-8"/>
          <w:sz w:val="24"/>
        </w:rPr>
        <w:t> </w:t>
      </w:r>
      <w:r>
        <w:rPr>
          <w:sz w:val="24"/>
        </w:rPr>
        <w:t>ће свака земља спроводити за подстицање отварања радних места и одрживи раст.</w:t>
      </w:r>
    </w:p>
    <w:p>
      <w:pPr>
        <w:pStyle w:val="ListParagraph"/>
        <w:numPr>
          <w:ilvl w:val="0"/>
          <w:numId w:val="4"/>
        </w:numPr>
        <w:tabs>
          <w:tab w:pos="1080" w:val="left" w:leader="none"/>
        </w:tabs>
        <w:spacing w:line="240" w:lineRule="auto" w:before="60" w:after="0"/>
        <w:ind w:left="1080" w:right="717" w:hanging="360"/>
        <w:jc w:val="both"/>
        <w:rPr>
          <w:sz w:val="24"/>
        </w:rPr>
      </w:pPr>
      <w:r>
        <w:rPr>
          <w:sz w:val="24"/>
        </w:rPr>
        <w:t>На основу процене националних програма реформи, Европска комисија објављује низ извештаја по земљама (</w:t>
      </w:r>
      <w:r>
        <w:rPr>
          <w:i/>
          <w:sz w:val="24"/>
        </w:rPr>
        <w:t>Country reports</w:t>
      </w:r>
      <w:r>
        <w:rPr>
          <w:sz w:val="24"/>
        </w:rPr>
        <w:t>), анализирајући економске политике држава чланица и издаје </w:t>
      </w:r>
      <w:r>
        <w:rPr>
          <w:b/>
          <w:sz w:val="24"/>
        </w:rPr>
        <w:t>препоруке за поједине државе </w:t>
      </w:r>
      <w:r>
        <w:rPr>
          <w:sz w:val="24"/>
        </w:rPr>
        <w:t>(</w:t>
      </w:r>
      <w:r>
        <w:rPr>
          <w:i/>
          <w:sz w:val="24"/>
        </w:rPr>
        <w:t>Country-specific </w:t>
      </w:r>
      <w:r>
        <w:rPr>
          <w:i/>
          <w:spacing w:val="-2"/>
          <w:sz w:val="24"/>
        </w:rPr>
        <w:t>recommendations</w:t>
      </w:r>
      <w:r>
        <w:rPr>
          <w:spacing w:val="-2"/>
          <w:sz w:val="24"/>
        </w:rPr>
        <w:t>).</w:t>
      </w:r>
    </w:p>
    <w:p>
      <w:pPr>
        <w:pStyle w:val="BodyText"/>
        <w:spacing w:before="121"/>
        <w:ind w:right="713" w:firstLine="719"/>
      </w:pPr>
      <w:r>
        <w:rPr>
          <w:b/>
        </w:rPr>
        <w:t>Јавне службе за запошљавање </w:t>
      </w:r>
      <w:r>
        <w:rPr/>
        <w:t>(</w:t>
      </w:r>
      <w:r>
        <w:rPr>
          <w:i/>
        </w:rPr>
        <w:t>Public Employment Services</w:t>
      </w:r>
      <w:r>
        <w:rPr/>
        <w:t>) су институције које повезују лица која траже запослење са послодавцима у земљама ЕУ. Иако су различито структуриране у свакој земљи, све јавне службе за запошљавање помажу усклађивању понуде</w:t>
      </w:r>
      <w:r>
        <w:rPr>
          <w:spacing w:val="-15"/>
        </w:rPr>
        <w:t> </w:t>
      </w:r>
      <w:r>
        <w:rPr/>
        <w:t>и</w:t>
      </w:r>
      <w:r>
        <w:rPr>
          <w:spacing w:val="-15"/>
        </w:rPr>
        <w:t> </w:t>
      </w:r>
      <w:r>
        <w:rPr/>
        <w:t>тражње</w:t>
      </w:r>
      <w:r>
        <w:rPr>
          <w:spacing w:val="-15"/>
        </w:rPr>
        <w:t> </w:t>
      </w:r>
      <w:r>
        <w:rPr/>
        <w:t>на</w:t>
      </w:r>
      <w:r>
        <w:rPr>
          <w:spacing w:val="-15"/>
        </w:rPr>
        <w:t> </w:t>
      </w:r>
      <w:r>
        <w:rPr/>
        <w:t>тржишту</w:t>
      </w:r>
      <w:r>
        <w:rPr>
          <w:spacing w:val="-15"/>
        </w:rPr>
        <w:t> </w:t>
      </w:r>
      <w:r>
        <w:rPr/>
        <w:t>рада</w:t>
      </w:r>
      <w:r>
        <w:rPr>
          <w:spacing w:val="-15"/>
        </w:rPr>
        <w:t> </w:t>
      </w:r>
      <w:r>
        <w:rPr/>
        <w:t>пружајући</w:t>
      </w:r>
      <w:r>
        <w:rPr>
          <w:spacing w:val="-15"/>
        </w:rPr>
        <w:t> </w:t>
      </w:r>
      <w:r>
        <w:rPr/>
        <w:t>услуге</w:t>
      </w:r>
      <w:r>
        <w:rPr>
          <w:spacing w:val="-15"/>
        </w:rPr>
        <w:t> </w:t>
      </w:r>
      <w:r>
        <w:rPr/>
        <w:t>информисања,</w:t>
      </w:r>
      <w:r>
        <w:rPr>
          <w:spacing w:val="-15"/>
        </w:rPr>
        <w:t> </w:t>
      </w:r>
      <w:r>
        <w:rPr/>
        <w:t>запошљавања</w:t>
      </w:r>
      <w:r>
        <w:rPr>
          <w:spacing w:val="-15"/>
        </w:rPr>
        <w:t> </w:t>
      </w:r>
      <w:r>
        <w:rPr/>
        <w:t>и</w:t>
      </w:r>
      <w:r>
        <w:rPr>
          <w:spacing w:val="-15"/>
        </w:rPr>
        <w:t> </w:t>
      </w:r>
      <w:r>
        <w:rPr/>
        <w:t>активне подршке на локалном, националном и европском нивоу. Службе су повезане у </w:t>
      </w:r>
      <w:r>
        <w:rPr>
          <w:b/>
        </w:rPr>
        <w:t>Европску мрежу јавних служби за запошљавање</w:t>
      </w:r>
      <w:r>
        <w:rPr>
          <w:vertAlign w:val="superscript"/>
        </w:rPr>
        <w:t>35</w:t>
      </w:r>
      <w:r>
        <w:rPr>
          <w:vertAlign w:val="baseline"/>
        </w:rPr>
        <w:t> са циљем да се максимизира ефикасност јавних служби за запошљавање међусобним упоређивањем перформанси (</w:t>
      </w:r>
      <w:r>
        <w:rPr>
          <w:i/>
          <w:vertAlign w:val="baseline"/>
        </w:rPr>
        <w:t>benchmarking</w:t>
      </w:r>
      <w:r>
        <w:rPr>
          <w:vertAlign w:val="baseline"/>
        </w:rPr>
        <w:t>), идентификују</w:t>
      </w:r>
      <w:r>
        <w:rPr>
          <w:spacing w:val="-6"/>
          <w:vertAlign w:val="baseline"/>
        </w:rPr>
        <w:t> </w:t>
      </w:r>
      <w:r>
        <w:rPr>
          <w:vertAlign w:val="baseline"/>
        </w:rPr>
        <w:t>примери добре</w:t>
      </w:r>
      <w:r>
        <w:rPr>
          <w:spacing w:val="-3"/>
          <w:vertAlign w:val="baseline"/>
        </w:rPr>
        <w:t> </w:t>
      </w:r>
      <w:r>
        <w:rPr>
          <w:vertAlign w:val="baseline"/>
        </w:rPr>
        <w:t>праксе</w:t>
      </w:r>
      <w:r>
        <w:rPr>
          <w:spacing w:val="-3"/>
          <w:vertAlign w:val="baseline"/>
        </w:rPr>
        <w:t> </w:t>
      </w:r>
      <w:r>
        <w:rPr>
          <w:vertAlign w:val="baseline"/>
        </w:rPr>
        <w:t>засновани</w:t>
      </w:r>
      <w:r>
        <w:rPr>
          <w:spacing w:val="-3"/>
          <w:vertAlign w:val="baseline"/>
        </w:rPr>
        <w:t> </w:t>
      </w:r>
      <w:r>
        <w:rPr>
          <w:vertAlign w:val="baseline"/>
        </w:rPr>
        <w:t>на</w:t>
      </w:r>
      <w:r>
        <w:rPr>
          <w:spacing w:val="-3"/>
          <w:vertAlign w:val="baseline"/>
        </w:rPr>
        <w:t> </w:t>
      </w:r>
      <w:r>
        <w:rPr>
          <w:vertAlign w:val="baseline"/>
        </w:rPr>
        <w:t>доказима</w:t>
      </w:r>
      <w:r>
        <w:rPr>
          <w:spacing w:val="-3"/>
          <w:vertAlign w:val="baseline"/>
        </w:rPr>
        <w:t> </w:t>
      </w:r>
      <w:r>
        <w:rPr>
          <w:vertAlign w:val="baseline"/>
        </w:rPr>
        <w:t>и</w:t>
      </w:r>
      <w:r>
        <w:rPr>
          <w:spacing w:val="-4"/>
          <w:vertAlign w:val="baseline"/>
        </w:rPr>
        <w:t> </w:t>
      </w:r>
      <w:r>
        <w:rPr>
          <w:vertAlign w:val="baseline"/>
        </w:rPr>
        <w:t>подстакне</w:t>
      </w:r>
      <w:r>
        <w:rPr>
          <w:spacing w:val="-3"/>
          <w:vertAlign w:val="baseline"/>
        </w:rPr>
        <w:t> </w:t>
      </w:r>
      <w:r>
        <w:rPr>
          <w:vertAlign w:val="baseline"/>
        </w:rPr>
        <w:t>међусобно учење, као и промовише модернизација и јачање служби за пружање услуга.</w:t>
      </w:r>
    </w:p>
    <w:p>
      <w:pPr>
        <w:pStyle w:val="BodyText"/>
        <w:spacing w:before="120"/>
        <w:ind w:right="715" w:firstLine="719"/>
      </w:pPr>
      <w:r>
        <w:rPr/>
        <w:t>У</w:t>
      </w:r>
      <w:r>
        <w:rPr>
          <w:spacing w:val="-8"/>
        </w:rPr>
        <w:t> </w:t>
      </w:r>
      <w:r>
        <w:rPr/>
        <w:t>земљама</w:t>
      </w:r>
      <w:r>
        <w:rPr>
          <w:spacing w:val="-6"/>
        </w:rPr>
        <w:t> </w:t>
      </w:r>
      <w:r>
        <w:rPr/>
        <w:t>ЕУ</w:t>
      </w:r>
      <w:r>
        <w:rPr>
          <w:spacing w:val="-8"/>
        </w:rPr>
        <w:t> </w:t>
      </w:r>
      <w:r>
        <w:rPr/>
        <w:t>постоје</w:t>
      </w:r>
      <w:r>
        <w:rPr>
          <w:spacing w:val="-7"/>
        </w:rPr>
        <w:t> </w:t>
      </w:r>
      <w:r>
        <w:rPr/>
        <w:t>три</w:t>
      </w:r>
      <w:r>
        <w:rPr>
          <w:spacing w:val="-7"/>
        </w:rPr>
        <w:t> </w:t>
      </w:r>
      <w:r>
        <w:rPr/>
        <w:t>главне</w:t>
      </w:r>
      <w:r>
        <w:rPr>
          <w:spacing w:val="-8"/>
        </w:rPr>
        <w:t> </w:t>
      </w:r>
      <w:r>
        <w:rPr>
          <w:b/>
        </w:rPr>
        <w:t>врсте</w:t>
      </w:r>
      <w:r>
        <w:rPr>
          <w:b/>
          <w:spacing w:val="-8"/>
        </w:rPr>
        <w:t> </w:t>
      </w:r>
      <w:r>
        <w:rPr>
          <w:b/>
        </w:rPr>
        <w:t>интервенција</w:t>
      </w:r>
      <w:r>
        <w:rPr>
          <w:b/>
          <w:spacing w:val="-8"/>
        </w:rPr>
        <w:t> </w:t>
      </w:r>
      <w:r>
        <w:rPr>
          <w:b/>
        </w:rPr>
        <w:t>политике</w:t>
      </w:r>
      <w:r>
        <w:rPr>
          <w:b/>
          <w:spacing w:val="-8"/>
        </w:rPr>
        <w:t> </w:t>
      </w:r>
      <w:r>
        <w:rPr>
          <w:b/>
        </w:rPr>
        <w:t>тржишта</w:t>
      </w:r>
      <w:r>
        <w:rPr>
          <w:b/>
          <w:spacing w:val="-8"/>
        </w:rPr>
        <w:t> </w:t>
      </w:r>
      <w:r>
        <w:rPr>
          <w:b/>
        </w:rPr>
        <w:t>рада</w:t>
      </w:r>
      <w:r>
        <w:rPr/>
        <w:t>:</w:t>
      </w:r>
      <w:r>
        <w:rPr>
          <w:spacing w:val="-8"/>
        </w:rPr>
        <w:t> </w:t>
      </w:r>
      <w:r>
        <w:rPr/>
        <w:t>а) услуге тржишта рада, б) мере активне политике тржишта рада и в) накнаде тржишта рада, које су даље класификоване у осам</w:t>
      </w:r>
      <w:r>
        <w:rPr>
          <w:vertAlign w:val="superscript"/>
        </w:rPr>
        <w:t>36</w:t>
      </w:r>
      <w:r>
        <w:rPr>
          <w:vertAlign w:val="baseline"/>
        </w:rPr>
        <w:t> детаљних категорија према врсти акције</w:t>
      </w:r>
      <w:r>
        <w:rPr>
          <w:vertAlign w:val="superscript"/>
        </w:rPr>
        <w:t>37</w:t>
      </w:r>
      <w:r>
        <w:rPr>
          <w:vertAlign w:val="baseline"/>
        </w:rPr>
        <w:t>.</w:t>
      </w:r>
    </w:p>
    <w:p>
      <w:pPr>
        <w:pStyle w:val="BodyText"/>
        <w:spacing w:before="120"/>
        <w:ind w:right="717" w:firstLine="719"/>
      </w:pPr>
      <w:r>
        <w:rPr/>
        <w:t>а) </w:t>
      </w:r>
      <w:r>
        <w:rPr>
          <w:b/>
        </w:rPr>
        <w:t>Услуге тржишта рада </w:t>
      </w:r>
      <w:r>
        <w:rPr/>
        <w:t>покривају све услуге и активности јавних служби за запошљавање (попут Националне службе за запошљавање у Србији), заједно са свим другим јавно финансираним услугама за лица која траже запослење.</w:t>
      </w:r>
    </w:p>
    <w:p>
      <w:pPr>
        <w:pStyle w:val="BodyText"/>
        <w:ind w:left="0"/>
        <w:jc w:val="left"/>
        <w:rPr>
          <w:sz w:val="20"/>
        </w:rPr>
      </w:pPr>
    </w:p>
    <w:p>
      <w:pPr>
        <w:pStyle w:val="BodyText"/>
        <w:ind w:left="0"/>
        <w:jc w:val="left"/>
        <w:rPr>
          <w:sz w:val="20"/>
        </w:rPr>
      </w:pPr>
    </w:p>
    <w:p>
      <w:pPr>
        <w:pStyle w:val="BodyText"/>
        <w:spacing w:before="86"/>
        <w:ind w:left="0"/>
        <w:jc w:val="left"/>
        <w:rPr>
          <w:sz w:val="20"/>
        </w:rPr>
      </w:pPr>
      <w:r>
        <w:rPr>
          <w:sz w:val="20"/>
        </w:rPr>
        <mc:AlternateContent>
          <mc:Choice Requires="wps">
            <w:drawing>
              <wp:anchor distT="0" distB="0" distL="0" distR="0" allowOverlap="1" layoutInCell="1" locked="0" behindDoc="1" simplePos="0" relativeHeight="487599104">
                <wp:simplePos x="0" y="0"/>
                <wp:positionH relativeFrom="page">
                  <wp:posOffset>914704</wp:posOffset>
                </wp:positionH>
                <wp:positionV relativeFrom="paragraph">
                  <wp:posOffset>216475</wp:posOffset>
                </wp:positionV>
                <wp:extent cx="1829435"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045343pt;width:144.020pt;height:.71997pt;mso-position-horizontal-relative:page;mso-position-vertical-relative:paragraph;z-index:-15717376;mso-wrap-distance-left:0;mso-wrap-distance-right:0" id="docshape25" filled="true" fillcolor="#000000" stroked="false">
                <v:fill type="solid"/>
                <w10:wrap type="topAndBottom"/>
              </v:rect>
            </w:pict>
          </mc:Fallback>
        </mc:AlternateContent>
      </w:r>
    </w:p>
    <w:p>
      <w:pPr>
        <w:spacing w:before="115"/>
        <w:ind w:left="360" w:right="0" w:firstLine="0"/>
        <w:jc w:val="left"/>
        <w:rPr>
          <w:sz w:val="18"/>
        </w:rPr>
      </w:pPr>
      <w:r>
        <w:rPr>
          <w:sz w:val="18"/>
          <w:vertAlign w:val="superscript"/>
        </w:rPr>
        <w:t>35</w:t>
      </w:r>
      <w:r>
        <w:rPr>
          <w:spacing w:val="3"/>
          <w:sz w:val="18"/>
          <w:vertAlign w:val="baseline"/>
        </w:rPr>
        <w:t> </w:t>
      </w:r>
      <w:r>
        <w:rPr>
          <w:sz w:val="18"/>
          <w:vertAlign w:val="baseline"/>
        </w:rPr>
        <w:t>Основана</w:t>
      </w:r>
      <w:r>
        <w:rPr>
          <w:spacing w:val="-2"/>
          <w:sz w:val="18"/>
          <w:vertAlign w:val="baseline"/>
        </w:rPr>
        <w:t> </w:t>
      </w:r>
      <w:r>
        <w:rPr>
          <w:sz w:val="18"/>
          <w:vertAlign w:val="baseline"/>
        </w:rPr>
        <w:t>одлуком</w:t>
      </w:r>
      <w:r>
        <w:rPr>
          <w:spacing w:val="-2"/>
          <w:sz w:val="18"/>
          <w:vertAlign w:val="baseline"/>
        </w:rPr>
        <w:t> </w:t>
      </w:r>
      <w:r>
        <w:rPr>
          <w:sz w:val="18"/>
          <w:vertAlign w:val="baseline"/>
        </w:rPr>
        <w:t>Европског</w:t>
      </w:r>
      <w:r>
        <w:rPr>
          <w:spacing w:val="-1"/>
          <w:sz w:val="18"/>
          <w:vertAlign w:val="baseline"/>
        </w:rPr>
        <w:t> </w:t>
      </w:r>
      <w:r>
        <w:rPr>
          <w:sz w:val="18"/>
          <w:vertAlign w:val="baseline"/>
        </w:rPr>
        <w:t>парламента</w:t>
      </w:r>
      <w:r>
        <w:rPr>
          <w:spacing w:val="-1"/>
          <w:sz w:val="18"/>
          <w:vertAlign w:val="baseline"/>
        </w:rPr>
        <w:t> </w:t>
      </w:r>
      <w:r>
        <w:rPr>
          <w:sz w:val="18"/>
          <w:vertAlign w:val="baseline"/>
        </w:rPr>
        <w:t>и</w:t>
      </w:r>
      <w:r>
        <w:rPr>
          <w:spacing w:val="-2"/>
          <w:sz w:val="18"/>
          <w:vertAlign w:val="baseline"/>
        </w:rPr>
        <w:t> </w:t>
      </w:r>
      <w:r>
        <w:rPr>
          <w:sz w:val="18"/>
          <w:vertAlign w:val="baseline"/>
        </w:rPr>
        <w:t>Савета</w:t>
      </w:r>
      <w:r>
        <w:rPr>
          <w:spacing w:val="-1"/>
          <w:sz w:val="18"/>
          <w:vertAlign w:val="baseline"/>
        </w:rPr>
        <w:t> </w:t>
      </w:r>
      <w:r>
        <w:rPr>
          <w:sz w:val="18"/>
          <w:vertAlign w:val="baseline"/>
        </w:rPr>
        <w:t>ЕУ</w:t>
      </w:r>
      <w:r>
        <w:rPr>
          <w:spacing w:val="-1"/>
          <w:sz w:val="18"/>
          <w:vertAlign w:val="baseline"/>
        </w:rPr>
        <w:t> </w:t>
      </w:r>
      <w:r>
        <w:rPr>
          <w:sz w:val="18"/>
          <w:vertAlign w:val="baseline"/>
        </w:rPr>
        <w:t>(573/2014/EU</w:t>
      </w:r>
      <w:r>
        <w:rPr>
          <w:spacing w:val="-2"/>
          <w:sz w:val="18"/>
          <w:vertAlign w:val="baseline"/>
        </w:rPr>
        <w:t> </w:t>
      </w:r>
      <w:r>
        <w:rPr>
          <w:sz w:val="18"/>
          <w:vertAlign w:val="baseline"/>
        </w:rPr>
        <w:t>од</w:t>
      </w:r>
      <w:r>
        <w:rPr>
          <w:spacing w:val="-4"/>
          <w:sz w:val="18"/>
          <w:vertAlign w:val="baseline"/>
        </w:rPr>
        <w:t> </w:t>
      </w:r>
      <w:r>
        <w:rPr>
          <w:sz w:val="18"/>
          <w:vertAlign w:val="baseline"/>
        </w:rPr>
        <w:t>15.</w:t>
      </w:r>
      <w:r>
        <w:rPr>
          <w:spacing w:val="-1"/>
          <w:sz w:val="18"/>
          <w:vertAlign w:val="baseline"/>
        </w:rPr>
        <w:t> </w:t>
      </w:r>
      <w:r>
        <w:rPr>
          <w:sz w:val="18"/>
          <w:vertAlign w:val="baseline"/>
        </w:rPr>
        <w:t>маја</w:t>
      </w:r>
      <w:r>
        <w:rPr>
          <w:spacing w:val="-1"/>
          <w:sz w:val="18"/>
          <w:vertAlign w:val="baseline"/>
        </w:rPr>
        <w:t> </w:t>
      </w:r>
      <w:r>
        <w:rPr>
          <w:sz w:val="18"/>
          <w:vertAlign w:val="baseline"/>
        </w:rPr>
        <w:t>2014.</w:t>
      </w:r>
      <w:r>
        <w:rPr>
          <w:spacing w:val="6"/>
          <w:sz w:val="18"/>
          <w:vertAlign w:val="baseline"/>
        </w:rPr>
        <w:t> </w:t>
      </w:r>
      <w:r>
        <w:rPr>
          <w:spacing w:val="-2"/>
          <w:sz w:val="18"/>
          <w:vertAlign w:val="baseline"/>
        </w:rPr>
        <w:t>године)</w:t>
      </w:r>
    </w:p>
    <w:p>
      <w:pPr>
        <w:spacing w:before="3"/>
        <w:ind w:left="360" w:right="713" w:firstLine="0"/>
        <w:jc w:val="left"/>
        <w:rPr>
          <w:sz w:val="18"/>
        </w:rPr>
      </w:pPr>
      <w:r>
        <w:rPr>
          <w:position w:val="6"/>
          <w:sz w:val="12"/>
        </w:rPr>
        <w:t>36</w:t>
      </w:r>
      <w:r>
        <w:rPr>
          <w:spacing w:val="12"/>
          <w:position w:val="6"/>
          <w:sz w:val="12"/>
        </w:rPr>
        <w:t> </w:t>
      </w:r>
      <w:r>
        <w:rPr>
          <w:sz w:val="18"/>
        </w:rPr>
        <w:t>Задржана</w:t>
      </w:r>
      <w:r>
        <w:rPr>
          <w:spacing w:val="-3"/>
          <w:sz w:val="18"/>
        </w:rPr>
        <w:t> </w:t>
      </w:r>
      <w:r>
        <w:rPr>
          <w:sz w:val="18"/>
        </w:rPr>
        <w:t>је</w:t>
      </w:r>
      <w:r>
        <w:rPr>
          <w:spacing w:val="-3"/>
          <w:sz w:val="18"/>
        </w:rPr>
        <w:t> </w:t>
      </w:r>
      <w:r>
        <w:rPr>
          <w:sz w:val="18"/>
        </w:rPr>
        <w:t>стара</w:t>
      </w:r>
      <w:r>
        <w:rPr>
          <w:spacing w:val="-3"/>
          <w:sz w:val="18"/>
        </w:rPr>
        <w:t> </w:t>
      </w:r>
      <w:r>
        <w:rPr>
          <w:sz w:val="18"/>
        </w:rPr>
        <w:t>нумерација</w:t>
      </w:r>
      <w:r>
        <w:rPr>
          <w:spacing w:val="-1"/>
          <w:sz w:val="18"/>
        </w:rPr>
        <w:t> </w:t>
      </w:r>
      <w:r>
        <w:rPr>
          <w:sz w:val="18"/>
        </w:rPr>
        <w:t>према</w:t>
      </w:r>
      <w:r>
        <w:rPr>
          <w:spacing w:val="-3"/>
          <w:sz w:val="18"/>
        </w:rPr>
        <w:t> </w:t>
      </w:r>
      <w:r>
        <w:rPr>
          <w:sz w:val="18"/>
        </w:rPr>
        <w:t>којој</w:t>
      </w:r>
      <w:r>
        <w:rPr>
          <w:spacing w:val="-3"/>
          <w:sz w:val="18"/>
        </w:rPr>
        <w:t> </w:t>
      </w:r>
      <w:r>
        <w:rPr>
          <w:sz w:val="18"/>
        </w:rPr>
        <w:t>је</w:t>
      </w:r>
      <w:r>
        <w:rPr>
          <w:spacing w:val="-3"/>
          <w:sz w:val="18"/>
        </w:rPr>
        <w:t> </w:t>
      </w:r>
      <w:r>
        <w:rPr>
          <w:sz w:val="18"/>
        </w:rPr>
        <w:t>било 9</w:t>
      </w:r>
      <w:r>
        <w:rPr>
          <w:spacing w:val="-3"/>
          <w:sz w:val="18"/>
        </w:rPr>
        <w:t> </w:t>
      </w:r>
      <w:r>
        <w:rPr>
          <w:sz w:val="18"/>
        </w:rPr>
        <w:t>категорија</w:t>
      </w:r>
      <w:r>
        <w:rPr>
          <w:spacing w:val="-5"/>
          <w:sz w:val="18"/>
        </w:rPr>
        <w:t> </w:t>
      </w:r>
      <w:r>
        <w:rPr>
          <w:sz w:val="18"/>
        </w:rPr>
        <w:t>интервенција.</w:t>
      </w:r>
      <w:r>
        <w:rPr>
          <w:spacing w:val="-3"/>
          <w:sz w:val="18"/>
        </w:rPr>
        <w:t> </w:t>
      </w:r>
      <w:r>
        <w:rPr>
          <w:sz w:val="18"/>
        </w:rPr>
        <w:t>Наиме,</w:t>
      </w:r>
      <w:r>
        <w:rPr>
          <w:spacing w:val="-3"/>
          <w:sz w:val="18"/>
        </w:rPr>
        <w:t> </w:t>
      </w:r>
      <w:r>
        <w:rPr>
          <w:sz w:val="18"/>
        </w:rPr>
        <w:t>категорија</w:t>
      </w:r>
      <w:r>
        <w:rPr>
          <w:spacing w:val="-3"/>
          <w:sz w:val="18"/>
        </w:rPr>
        <w:t> </w:t>
      </w:r>
      <w:r>
        <w:rPr>
          <w:sz w:val="18"/>
        </w:rPr>
        <w:t>3 –</w:t>
      </w:r>
      <w:r>
        <w:rPr>
          <w:spacing w:val="-3"/>
          <w:sz w:val="18"/>
        </w:rPr>
        <w:t> </w:t>
      </w:r>
      <w:r>
        <w:rPr>
          <w:sz w:val="18"/>
        </w:rPr>
        <w:t>ротација</w:t>
      </w:r>
      <w:r>
        <w:rPr>
          <w:spacing w:val="-3"/>
          <w:sz w:val="18"/>
        </w:rPr>
        <w:t> </w:t>
      </w:r>
      <w:r>
        <w:rPr>
          <w:sz w:val="18"/>
        </w:rPr>
        <w:t>посла</w:t>
      </w:r>
      <w:r>
        <w:rPr>
          <w:spacing w:val="-3"/>
          <w:sz w:val="18"/>
        </w:rPr>
        <w:t> </w:t>
      </w:r>
      <w:r>
        <w:rPr>
          <w:sz w:val="18"/>
        </w:rPr>
        <w:t>и подела посла се више не користи као засебна категорија, већ је прикључена категорији 4.</w:t>
      </w:r>
    </w:p>
    <w:p>
      <w:pPr>
        <w:spacing w:line="240" w:lineRule="auto" w:before="0"/>
        <w:ind w:left="360" w:right="713" w:firstLine="0"/>
        <w:jc w:val="left"/>
        <w:rPr>
          <w:sz w:val="18"/>
        </w:rPr>
      </w:pPr>
      <w:r>
        <w:rPr>
          <w:position w:val="6"/>
          <w:sz w:val="12"/>
        </w:rPr>
        <w:t>37</w:t>
      </w:r>
      <w:r>
        <w:rPr>
          <w:spacing w:val="12"/>
          <w:position w:val="6"/>
          <w:sz w:val="12"/>
        </w:rPr>
        <w:t> </w:t>
      </w:r>
      <w:r>
        <w:rPr>
          <w:sz w:val="18"/>
        </w:rPr>
        <w:t>European</w:t>
      </w:r>
      <w:r>
        <w:rPr>
          <w:spacing w:val="-2"/>
          <w:sz w:val="18"/>
        </w:rPr>
        <w:t> </w:t>
      </w:r>
      <w:r>
        <w:rPr>
          <w:sz w:val="18"/>
        </w:rPr>
        <w:t>Commission,</w:t>
      </w:r>
      <w:r>
        <w:rPr>
          <w:spacing w:val="-3"/>
          <w:sz w:val="18"/>
        </w:rPr>
        <w:t> </w:t>
      </w:r>
      <w:r>
        <w:rPr>
          <w:sz w:val="18"/>
        </w:rPr>
        <w:t>Directorate</w:t>
      </w:r>
      <w:r>
        <w:rPr>
          <w:spacing w:val="-3"/>
          <w:sz w:val="18"/>
        </w:rPr>
        <w:t> </w:t>
      </w:r>
      <w:r>
        <w:rPr>
          <w:sz w:val="18"/>
        </w:rPr>
        <w:t>General</w:t>
      </w:r>
      <w:r>
        <w:rPr>
          <w:spacing w:val="-3"/>
          <w:sz w:val="18"/>
        </w:rPr>
        <w:t> </w:t>
      </w:r>
      <w:r>
        <w:rPr>
          <w:sz w:val="18"/>
        </w:rPr>
        <w:t>for</w:t>
      </w:r>
      <w:r>
        <w:rPr>
          <w:spacing w:val="-3"/>
          <w:sz w:val="18"/>
        </w:rPr>
        <w:t> </w:t>
      </w:r>
      <w:r>
        <w:rPr>
          <w:sz w:val="18"/>
        </w:rPr>
        <w:t>Employment,</w:t>
      </w:r>
      <w:r>
        <w:rPr>
          <w:spacing w:val="-2"/>
          <w:sz w:val="18"/>
        </w:rPr>
        <w:t> </w:t>
      </w:r>
      <w:r>
        <w:rPr>
          <w:sz w:val="18"/>
        </w:rPr>
        <w:t>Social</w:t>
      </w:r>
      <w:r>
        <w:rPr>
          <w:spacing w:val="-3"/>
          <w:sz w:val="18"/>
        </w:rPr>
        <w:t> </w:t>
      </w:r>
      <w:r>
        <w:rPr>
          <w:sz w:val="18"/>
        </w:rPr>
        <w:t>Affairs</w:t>
      </w:r>
      <w:r>
        <w:rPr>
          <w:spacing w:val="-3"/>
          <w:sz w:val="18"/>
        </w:rPr>
        <w:t> </w:t>
      </w:r>
      <w:r>
        <w:rPr>
          <w:sz w:val="18"/>
        </w:rPr>
        <w:t>and</w:t>
      </w:r>
      <w:r>
        <w:rPr>
          <w:spacing w:val="-2"/>
          <w:sz w:val="18"/>
        </w:rPr>
        <w:t> </w:t>
      </w:r>
      <w:r>
        <w:rPr>
          <w:sz w:val="18"/>
        </w:rPr>
        <w:t>Inclusion,</w:t>
      </w:r>
      <w:r>
        <w:rPr>
          <w:spacing w:val="-3"/>
          <w:sz w:val="18"/>
        </w:rPr>
        <w:t> </w:t>
      </w:r>
      <w:r>
        <w:rPr>
          <w:sz w:val="18"/>
        </w:rPr>
        <w:t>Labour</w:t>
      </w:r>
      <w:r>
        <w:rPr>
          <w:spacing w:val="-5"/>
          <w:sz w:val="18"/>
        </w:rPr>
        <w:t> </w:t>
      </w:r>
      <w:r>
        <w:rPr>
          <w:sz w:val="18"/>
        </w:rPr>
        <w:t>Market</w:t>
      </w:r>
      <w:r>
        <w:rPr>
          <w:spacing w:val="-3"/>
          <w:sz w:val="18"/>
        </w:rPr>
        <w:t> </w:t>
      </w:r>
      <w:r>
        <w:rPr>
          <w:sz w:val="18"/>
        </w:rPr>
        <w:t>Policy</w:t>
      </w:r>
      <w:r>
        <w:rPr>
          <w:spacing w:val="-7"/>
          <w:sz w:val="18"/>
        </w:rPr>
        <w:t> </w:t>
      </w:r>
      <w:r>
        <w:rPr>
          <w:sz w:val="18"/>
        </w:rPr>
        <w:t>Metadata, доступно на: </w:t>
      </w:r>
      <w:hyperlink r:id="rId14">
        <w:r>
          <w:rPr>
            <w:color w:val="0462C1"/>
            <w:sz w:val="18"/>
            <w:u w:val="single" w:color="0462C1"/>
          </w:rPr>
          <w:t>https://ec.europa.eu/employment_social/employment_analysis/lmp/lmp_esms.htm</w:t>
        </w:r>
      </w:hyperlink>
    </w:p>
    <w:p>
      <w:pPr>
        <w:spacing w:after="0" w:line="240" w:lineRule="auto"/>
        <w:jc w:val="left"/>
        <w:rPr>
          <w:sz w:val="18"/>
        </w:rPr>
        <w:sectPr>
          <w:pgSz w:w="12240" w:h="15840"/>
          <w:pgMar w:header="0" w:footer="702" w:top="1360" w:bottom="900" w:left="1080" w:right="720"/>
        </w:sectPr>
      </w:pPr>
    </w:p>
    <w:p>
      <w:pPr>
        <w:pStyle w:val="BodyText"/>
        <w:spacing w:before="72"/>
        <w:ind w:right="716" w:firstLine="719"/>
      </w:pPr>
      <w:r>
        <w:rPr/>
        <w:t>б) </w:t>
      </w:r>
      <w:r>
        <w:rPr>
          <w:b/>
        </w:rPr>
        <w:t>Мере активне политике тржишта рада </w:t>
      </w:r>
      <w:r>
        <w:rPr/>
        <w:t>обухватају интервенције које пружају привремену</w:t>
      </w:r>
      <w:r>
        <w:rPr>
          <w:spacing w:val="-5"/>
        </w:rPr>
        <w:t> </w:t>
      </w:r>
      <w:r>
        <w:rPr/>
        <w:t>подршку</w:t>
      </w:r>
      <w:r>
        <w:rPr>
          <w:spacing w:val="-5"/>
        </w:rPr>
        <w:t> </w:t>
      </w:r>
      <w:r>
        <w:rPr/>
        <w:t>групама</w:t>
      </w:r>
      <w:r>
        <w:rPr>
          <w:spacing w:val="-1"/>
        </w:rPr>
        <w:t> </w:t>
      </w:r>
      <w:r>
        <w:rPr/>
        <w:t>које су</w:t>
      </w:r>
      <w:r>
        <w:rPr>
          <w:spacing w:val="-1"/>
        </w:rPr>
        <w:t> </w:t>
      </w:r>
      <w:r>
        <w:rPr/>
        <w:t>у</w:t>
      </w:r>
      <w:r>
        <w:rPr>
          <w:spacing w:val="-5"/>
        </w:rPr>
        <w:t> </w:t>
      </w:r>
      <w:r>
        <w:rPr/>
        <w:t>неповољном</w:t>
      </w:r>
      <w:r>
        <w:rPr>
          <w:spacing w:val="-1"/>
        </w:rPr>
        <w:t> </w:t>
      </w:r>
      <w:r>
        <w:rPr/>
        <w:t>положају</w:t>
      </w:r>
      <w:r>
        <w:rPr>
          <w:spacing w:val="-5"/>
        </w:rPr>
        <w:t> </w:t>
      </w:r>
      <w:r>
        <w:rPr/>
        <w:t>на</w:t>
      </w:r>
      <w:r>
        <w:rPr>
          <w:spacing w:val="-1"/>
        </w:rPr>
        <w:t> </w:t>
      </w:r>
      <w:r>
        <w:rPr/>
        <w:t>тржишту</w:t>
      </w:r>
      <w:r>
        <w:rPr>
          <w:spacing w:val="-8"/>
        </w:rPr>
        <w:t> </w:t>
      </w:r>
      <w:r>
        <w:rPr/>
        <w:t>рада</w:t>
      </w:r>
      <w:r>
        <w:rPr>
          <w:spacing w:val="-1"/>
        </w:rPr>
        <w:t> </w:t>
      </w:r>
      <w:r>
        <w:rPr/>
        <w:t>и којима</w:t>
      </w:r>
      <w:r>
        <w:rPr>
          <w:spacing w:val="-1"/>
        </w:rPr>
        <w:t> </w:t>
      </w:r>
      <w:r>
        <w:rPr/>
        <w:t>је циљ активирање незапослених, помагање лицима да пређу из невољне неактивности у запослење или одржавање радних места особа којима прети незапосленост.</w:t>
      </w:r>
    </w:p>
    <w:p>
      <w:pPr>
        <w:spacing w:before="120"/>
        <w:ind w:left="360" w:right="716" w:firstLine="719"/>
        <w:jc w:val="both"/>
        <w:rPr>
          <w:sz w:val="24"/>
        </w:rPr>
      </w:pPr>
      <w:r>
        <w:rPr>
          <w:sz w:val="24"/>
        </w:rPr>
        <w:t>в) Политика тржишта рада подразумева и </w:t>
      </w:r>
      <w:r>
        <w:rPr>
          <w:b/>
          <w:sz w:val="24"/>
        </w:rPr>
        <w:t>финансијску помоћ која има за циљ надокнађивање губитка зараде или плате и подршку током тражења посла </w:t>
      </w:r>
      <w:r>
        <w:rPr>
          <w:sz w:val="24"/>
        </w:rPr>
        <w:t>(тј. углавном накнаде за незапосленост) или која </w:t>
      </w:r>
      <w:r>
        <w:rPr>
          <w:b/>
          <w:sz w:val="24"/>
        </w:rPr>
        <w:t>олакшава превремену пензију</w:t>
      </w:r>
      <w:r>
        <w:rPr>
          <w:sz w:val="24"/>
        </w:rPr>
        <w:t>.</w:t>
      </w:r>
    </w:p>
    <w:p>
      <w:pPr>
        <w:pStyle w:val="BodyText"/>
        <w:spacing w:before="120"/>
        <w:ind w:right="710" w:firstLine="719"/>
      </w:pPr>
      <w:r>
        <w:rPr>
          <w:b/>
        </w:rPr>
        <w:t>Укупни</w:t>
      </w:r>
      <w:r>
        <w:rPr>
          <w:b/>
          <w:spacing w:val="-15"/>
        </w:rPr>
        <w:t> </w:t>
      </w:r>
      <w:r>
        <w:rPr>
          <w:b/>
        </w:rPr>
        <w:t>издаци</w:t>
      </w:r>
      <w:r>
        <w:rPr>
          <w:b/>
          <w:spacing w:val="-15"/>
        </w:rPr>
        <w:t> </w:t>
      </w:r>
      <w:r>
        <w:rPr>
          <w:b/>
        </w:rPr>
        <w:t>за</w:t>
      </w:r>
      <w:r>
        <w:rPr>
          <w:b/>
          <w:spacing w:val="-15"/>
        </w:rPr>
        <w:t> </w:t>
      </w:r>
      <w:r>
        <w:rPr>
          <w:b/>
        </w:rPr>
        <w:t>политике</w:t>
      </w:r>
      <w:r>
        <w:rPr>
          <w:b/>
          <w:spacing w:val="-15"/>
        </w:rPr>
        <w:t> </w:t>
      </w:r>
      <w:r>
        <w:rPr>
          <w:b/>
        </w:rPr>
        <w:t>тржишта</w:t>
      </w:r>
      <w:r>
        <w:rPr>
          <w:b/>
          <w:spacing w:val="-14"/>
        </w:rPr>
        <w:t> </w:t>
      </w:r>
      <w:r>
        <w:rPr>
          <w:b/>
        </w:rPr>
        <w:t>рада</w:t>
      </w:r>
      <w:r>
        <w:rPr>
          <w:b/>
          <w:spacing w:val="-9"/>
        </w:rPr>
        <w:t> </w:t>
      </w:r>
      <w:r>
        <w:rPr/>
        <w:t>(категорије</w:t>
      </w:r>
      <w:r>
        <w:rPr>
          <w:spacing w:val="-14"/>
        </w:rPr>
        <w:t> </w:t>
      </w:r>
      <w:r>
        <w:rPr/>
        <w:t>1-9.)</w:t>
      </w:r>
      <w:r>
        <w:rPr>
          <w:spacing w:val="-11"/>
        </w:rPr>
        <w:t> </w:t>
      </w:r>
      <w:r>
        <w:rPr/>
        <w:t>у</w:t>
      </w:r>
      <w:r>
        <w:rPr>
          <w:spacing w:val="-15"/>
        </w:rPr>
        <w:t> </w:t>
      </w:r>
      <w:r>
        <w:rPr/>
        <w:t>земљама</w:t>
      </w:r>
      <w:r>
        <w:rPr>
          <w:spacing w:val="-13"/>
        </w:rPr>
        <w:t> </w:t>
      </w:r>
      <w:r>
        <w:rPr/>
        <w:t>ЕУ</w:t>
      </w:r>
      <w:r>
        <w:rPr>
          <w:spacing w:val="-12"/>
        </w:rPr>
        <w:t> </w:t>
      </w:r>
      <w:r>
        <w:rPr/>
        <w:t>кретали су се од 0,088% БДП у Румунији до 2,8% БДП у Данској у 2018. години, према подацима Европске комисије. У периоду од 2015. до 2018. године приметан је </w:t>
      </w:r>
      <w:r>
        <w:rPr>
          <w:b/>
        </w:rPr>
        <w:t>пад издвајања </w:t>
      </w:r>
      <w:r>
        <w:rPr/>
        <w:t>за политике тржишта рада у већини земаља ЕУ. Издвајања за пасивне мере (као % бруто домаћег производа) превазилазе издвајања за активне мере, а ова разлика је израженија у случају</w:t>
      </w:r>
      <w:r>
        <w:rPr>
          <w:spacing w:val="-15"/>
        </w:rPr>
        <w:t> </w:t>
      </w:r>
      <w:r>
        <w:rPr/>
        <w:t>земаља</w:t>
      </w:r>
      <w:r>
        <w:rPr>
          <w:spacing w:val="-9"/>
        </w:rPr>
        <w:t> </w:t>
      </w:r>
      <w:r>
        <w:rPr/>
        <w:t>у</w:t>
      </w:r>
      <w:r>
        <w:rPr>
          <w:spacing w:val="-15"/>
        </w:rPr>
        <w:t> </w:t>
      </w:r>
      <w:r>
        <w:rPr/>
        <w:t>транзицији,</w:t>
      </w:r>
      <w:r>
        <w:rPr>
          <w:spacing w:val="-12"/>
        </w:rPr>
        <w:t> </w:t>
      </w:r>
      <w:r>
        <w:rPr/>
        <w:t>будући</w:t>
      </w:r>
      <w:r>
        <w:rPr>
          <w:spacing w:val="-9"/>
        </w:rPr>
        <w:t> </w:t>
      </w:r>
      <w:r>
        <w:rPr/>
        <w:t>да</w:t>
      </w:r>
      <w:r>
        <w:rPr>
          <w:spacing w:val="-10"/>
        </w:rPr>
        <w:t> </w:t>
      </w:r>
      <w:r>
        <w:rPr/>
        <w:t>се</w:t>
      </w:r>
      <w:r>
        <w:rPr>
          <w:spacing w:val="-6"/>
        </w:rPr>
        <w:t> </w:t>
      </w:r>
      <w:r>
        <w:rPr/>
        <w:t>у</w:t>
      </w:r>
      <w:r>
        <w:rPr>
          <w:spacing w:val="-14"/>
        </w:rPr>
        <w:t> </w:t>
      </w:r>
      <w:r>
        <w:rPr/>
        <w:t>пасивне</w:t>
      </w:r>
      <w:r>
        <w:rPr>
          <w:spacing w:val="-11"/>
        </w:rPr>
        <w:t> </w:t>
      </w:r>
      <w:r>
        <w:rPr/>
        <w:t>мере</w:t>
      </w:r>
      <w:r>
        <w:rPr>
          <w:spacing w:val="-8"/>
        </w:rPr>
        <w:t> </w:t>
      </w:r>
      <w:r>
        <w:rPr/>
        <w:t>укључују</w:t>
      </w:r>
      <w:r>
        <w:rPr>
          <w:spacing w:val="-15"/>
        </w:rPr>
        <w:t> </w:t>
      </w:r>
      <w:r>
        <w:rPr/>
        <w:t>и</w:t>
      </w:r>
      <w:r>
        <w:rPr>
          <w:spacing w:val="-6"/>
        </w:rPr>
        <w:t> </w:t>
      </w:r>
      <w:r>
        <w:rPr/>
        <w:t>издвајања</w:t>
      </w:r>
      <w:r>
        <w:rPr>
          <w:spacing w:val="-11"/>
        </w:rPr>
        <w:t> </w:t>
      </w:r>
      <w:r>
        <w:rPr/>
        <w:t>за</w:t>
      </w:r>
      <w:r>
        <w:rPr>
          <w:spacing w:val="-11"/>
        </w:rPr>
        <w:t> </w:t>
      </w:r>
      <w:r>
        <w:rPr/>
        <w:t>подршку радницима који су остали без посла, јер су предузећа у којима су били запослени приватизована или су у фази реструктурирања</w:t>
      </w:r>
      <w:r>
        <w:rPr>
          <w:vertAlign w:val="superscript"/>
        </w:rPr>
        <w:t>38</w:t>
      </w:r>
      <w:r>
        <w:rPr>
          <w:vertAlign w:val="baseline"/>
        </w:rPr>
        <w:t>.</w:t>
      </w:r>
    </w:p>
    <w:p>
      <w:pPr>
        <w:pStyle w:val="BodyText"/>
        <w:spacing w:before="121"/>
        <w:ind w:right="714" w:firstLine="719"/>
      </w:pPr>
      <w:r>
        <w:rPr>
          <w:b/>
        </w:rPr>
        <w:t>Издаци за активне политике тржишта рада </w:t>
      </w:r>
      <w:r>
        <w:rPr/>
        <w:t>(категорије 2-7.) у земљама ЕУ кретали</w:t>
      </w:r>
      <w:r>
        <w:rPr>
          <w:spacing w:val="-2"/>
        </w:rPr>
        <w:t> </w:t>
      </w:r>
      <w:r>
        <w:rPr/>
        <w:t>су</w:t>
      </w:r>
      <w:r>
        <w:rPr>
          <w:spacing w:val="-7"/>
        </w:rPr>
        <w:t> </w:t>
      </w:r>
      <w:r>
        <w:rPr/>
        <w:t>се</w:t>
      </w:r>
      <w:r>
        <w:rPr>
          <w:spacing w:val="-3"/>
        </w:rPr>
        <w:t> </w:t>
      </w:r>
      <w:r>
        <w:rPr/>
        <w:t>од</w:t>
      </w:r>
      <w:r>
        <w:rPr>
          <w:spacing w:val="-2"/>
        </w:rPr>
        <w:t> </w:t>
      </w:r>
      <w:r>
        <w:rPr/>
        <w:t>0,027%</w:t>
      </w:r>
      <w:r>
        <w:rPr>
          <w:spacing w:val="-3"/>
        </w:rPr>
        <w:t> </w:t>
      </w:r>
      <w:r>
        <w:rPr/>
        <w:t>БДП у</w:t>
      </w:r>
      <w:r>
        <w:rPr>
          <w:spacing w:val="-7"/>
        </w:rPr>
        <w:t> </w:t>
      </w:r>
      <w:r>
        <w:rPr/>
        <w:t>Румунији</w:t>
      </w:r>
      <w:r>
        <w:rPr>
          <w:spacing w:val="-1"/>
        </w:rPr>
        <w:t> </w:t>
      </w:r>
      <w:r>
        <w:rPr/>
        <w:t>до</w:t>
      </w:r>
      <w:r>
        <w:rPr>
          <w:spacing w:val="-2"/>
        </w:rPr>
        <w:t> </w:t>
      </w:r>
      <w:r>
        <w:rPr/>
        <w:t>1,388%</w:t>
      </w:r>
      <w:r>
        <w:rPr>
          <w:spacing w:val="-3"/>
        </w:rPr>
        <w:t> </w:t>
      </w:r>
      <w:r>
        <w:rPr/>
        <w:t>БДП у</w:t>
      </w:r>
      <w:r>
        <w:rPr>
          <w:spacing w:val="-7"/>
        </w:rPr>
        <w:t> </w:t>
      </w:r>
      <w:r>
        <w:rPr/>
        <w:t>Данској у</w:t>
      </w:r>
      <w:r>
        <w:rPr>
          <w:spacing w:val="-5"/>
        </w:rPr>
        <w:t> </w:t>
      </w:r>
      <w:r>
        <w:rPr/>
        <w:t>2018.</w:t>
      </w:r>
      <w:r>
        <w:rPr>
          <w:spacing w:val="-2"/>
        </w:rPr>
        <w:t> </w:t>
      </w:r>
      <w:r>
        <w:rPr/>
        <w:t>години.</w:t>
      </w:r>
      <w:r>
        <w:rPr>
          <w:spacing w:val="-2"/>
        </w:rPr>
        <w:t> </w:t>
      </w:r>
      <w:r>
        <w:rPr/>
        <w:t>Подаци указују да је у периоду 2015.-2018. године број лица укључених у мере активне тржишта рада у већини земаља ЕУ порастао.</w:t>
      </w:r>
    </w:p>
    <w:p>
      <w:pPr>
        <w:pStyle w:val="BodyText"/>
        <w:spacing w:line="264" w:lineRule="auto" w:before="122"/>
        <w:ind w:right="720"/>
      </w:pPr>
      <w:r>
        <w:rPr/>
        <w:drawing>
          <wp:anchor distT="0" distB="0" distL="0" distR="0" allowOverlap="1" layoutInCell="1" locked="0" behindDoc="1" simplePos="0" relativeHeight="487599616">
            <wp:simplePos x="0" y="0"/>
            <wp:positionH relativeFrom="page">
              <wp:posOffset>1728071</wp:posOffset>
            </wp:positionH>
            <wp:positionV relativeFrom="paragraph">
              <wp:posOffset>500931</wp:posOffset>
            </wp:positionV>
            <wp:extent cx="4265329" cy="1548764"/>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5" cstate="print"/>
                    <a:stretch>
                      <a:fillRect/>
                    </a:stretch>
                  </pic:blipFill>
                  <pic:spPr>
                    <a:xfrm>
                      <a:off x="0" y="0"/>
                      <a:ext cx="4265329" cy="1548764"/>
                    </a:xfrm>
                    <a:prstGeom prst="rect">
                      <a:avLst/>
                    </a:prstGeom>
                  </pic:spPr>
                </pic:pic>
              </a:graphicData>
            </a:graphic>
          </wp:anchor>
        </w:drawing>
      </w:r>
      <w:r>
        <w:rPr/>
        <w:t>Графикон</w:t>
      </w:r>
      <w:r>
        <w:rPr>
          <w:spacing w:val="-2"/>
        </w:rPr>
        <w:t> </w:t>
      </w:r>
      <w:r>
        <w:rPr/>
        <w:t>3.</w:t>
      </w:r>
      <w:r>
        <w:rPr>
          <w:spacing w:val="40"/>
        </w:rPr>
        <w:t>  </w:t>
      </w:r>
      <w:r>
        <w:rPr/>
        <w:t>Издаци у</w:t>
      </w:r>
      <w:r>
        <w:rPr>
          <w:spacing w:val="-3"/>
        </w:rPr>
        <w:t> </w:t>
      </w:r>
      <w:r>
        <w:rPr/>
        <w:t>земљама ЕУ за мере активне политике тржишта рада као % БДП, </w:t>
      </w:r>
      <w:r>
        <w:rPr>
          <w:spacing w:val="-4"/>
        </w:rPr>
        <w:t>2018</w:t>
      </w:r>
    </w:p>
    <w:p>
      <w:pPr>
        <w:spacing w:before="243"/>
        <w:ind w:left="360" w:right="713" w:firstLine="0"/>
        <w:jc w:val="left"/>
        <w:rPr>
          <w:sz w:val="20"/>
        </w:rPr>
      </w:pPr>
      <w:r>
        <w:rPr>
          <w:sz w:val="20"/>
        </w:rPr>
        <w:t>Извор: Европска комисија, Генерални директорат за запошљавање, социјална питања и инклузију </w:t>
      </w:r>
      <w:hyperlink r:id="rId16">
        <w:r>
          <w:rPr>
            <w:color w:val="0462C1"/>
            <w:spacing w:val="-2"/>
            <w:sz w:val="20"/>
            <w:u w:val="single" w:color="0462C1"/>
          </w:rPr>
          <w:t>https://webgate.ec.europa.eu/empl/redisstat/databrowser/view/LMP_EXPSUMM/default/table?lang=en&amp;category=l</w:t>
        </w:r>
      </w:hyperlink>
      <w:r>
        <w:rPr>
          <w:color w:val="0462C1"/>
          <w:spacing w:val="-2"/>
          <w:sz w:val="20"/>
        </w:rPr>
        <w:t> </w:t>
      </w:r>
      <w:hyperlink r:id="rId16">
        <w:r>
          <w:rPr>
            <w:color w:val="0462C1"/>
            <w:spacing w:val="-2"/>
            <w:sz w:val="20"/>
            <w:u w:val="single" w:color="0462C1"/>
          </w:rPr>
          <w:t>mp_expend</w:t>
        </w:r>
      </w:hyperlink>
    </w:p>
    <w:p>
      <w:pPr>
        <w:pStyle w:val="BodyText"/>
        <w:spacing w:before="124"/>
        <w:ind w:left="0"/>
        <w:jc w:val="left"/>
      </w:pPr>
    </w:p>
    <w:p>
      <w:pPr>
        <w:pStyle w:val="Heading1"/>
        <w:numPr>
          <w:ilvl w:val="0"/>
          <w:numId w:val="1"/>
        </w:numPr>
        <w:tabs>
          <w:tab w:pos="1490" w:val="left" w:leader="none"/>
        </w:tabs>
        <w:spacing w:line="240" w:lineRule="auto" w:before="0" w:after="0"/>
        <w:ind w:left="1490" w:right="0" w:hanging="357"/>
        <w:jc w:val="left"/>
      </w:pPr>
      <w:r>
        <w:rPr/>
        <w:t>ПРОМЕНА</w:t>
      </w:r>
      <w:r>
        <w:rPr>
          <w:spacing w:val="-5"/>
        </w:rPr>
        <w:t> </w:t>
      </w:r>
      <w:r>
        <w:rPr/>
        <w:t>КОЈА</w:t>
      </w:r>
      <w:r>
        <w:rPr>
          <w:spacing w:val="-3"/>
        </w:rPr>
        <w:t> </w:t>
      </w:r>
      <w:r>
        <w:rPr/>
        <w:t>СЕ</w:t>
      </w:r>
      <w:r>
        <w:rPr>
          <w:spacing w:val="-2"/>
        </w:rPr>
        <w:t> </w:t>
      </w:r>
      <w:r>
        <w:rPr/>
        <w:t>ПОСТИЖЕ</w:t>
      </w:r>
      <w:r>
        <w:rPr>
          <w:spacing w:val="-2"/>
        </w:rPr>
        <w:t> </w:t>
      </w:r>
      <w:r>
        <w:rPr/>
        <w:t>СПРОВОЂЕЊЕМ</w:t>
      </w:r>
      <w:r>
        <w:rPr>
          <w:spacing w:val="-1"/>
        </w:rPr>
        <w:t> </w:t>
      </w:r>
      <w:r>
        <w:rPr>
          <w:spacing w:val="-2"/>
        </w:rPr>
        <w:t>СТРАТЕГИЈЕ</w:t>
      </w:r>
    </w:p>
    <w:p>
      <w:pPr>
        <w:pStyle w:val="Heading3"/>
        <w:spacing w:before="120"/>
        <w:ind w:left="370"/>
        <w:jc w:val="left"/>
      </w:pPr>
      <w:r>
        <w:rPr>
          <w:spacing w:val="-2"/>
        </w:rPr>
        <w:t>Визија:</w:t>
      </w:r>
    </w:p>
    <w:p>
      <w:pPr>
        <w:pStyle w:val="BodyText"/>
        <w:spacing w:before="116"/>
        <w:ind w:firstLine="719"/>
        <w:jc w:val="left"/>
      </w:pPr>
      <w:r>
        <w:rPr/>
        <w:t>Развијено</w:t>
      </w:r>
      <w:r>
        <w:rPr>
          <w:spacing w:val="40"/>
        </w:rPr>
        <w:t> </w:t>
      </w:r>
      <w:r>
        <w:rPr/>
        <w:t>инклузивно</w:t>
      </w:r>
      <w:r>
        <w:rPr>
          <w:spacing w:val="40"/>
        </w:rPr>
        <w:t> </w:t>
      </w:r>
      <w:r>
        <w:rPr/>
        <w:t>тржиште</w:t>
      </w:r>
      <w:r>
        <w:rPr>
          <w:spacing w:val="40"/>
        </w:rPr>
        <w:t> </w:t>
      </w:r>
      <w:r>
        <w:rPr/>
        <w:t>рада</w:t>
      </w:r>
      <w:r>
        <w:rPr>
          <w:spacing w:val="40"/>
        </w:rPr>
        <w:t> </w:t>
      </w:r>
      <w:r>
        <w:rPr/>
        <w:t>које</w:t>
      </w:r>
      <w:r>
        <w:rPr>
          <w:spacing w:val="40"/>
        </w:rPr>
        <w:t> </w:t>
      </w:r>
      <w:r>
        <w:rPr/>
        <w:t>омогућава</w:t>
      </w:r>
      <w:r>
        <w:rPr>
          <w:spacing w:val="40"/>
        </w:rPr>
        <w:t> </w:t>
      </w:r>
      <w:r>
        <w:rPr/>
        <w:t>приступ</w:t>
      </w:r>
      <w:r>
        <w:rPr>
          <w:spacing w:val="40"/>
        </w:rPr>
        <w:t> </w:t>
      </w:r>
      <w:r>
        <w:rPr/>
        <w:t>запошљавању</w:t>
      </w:r>
      <w:r>
        <w:rPr>
          <w:spacing w:val="40"/>
        </w:rPr>
        <w:t> </w:t>
      </w:r>
      <w:r>
        <w:rPr/>
        <w:t>под једнаким условима за све.</w:t>
      </w:r>
    </w:p>
    <w:p>
      <w:pPr>
        <w:pStyle w:val="Heading3"/>
        <w:spacing w:before="187"/>
        <w:ind w:left="370"/>
        <w:jc w:val="left"/>
      </w:pPr>
      <w:r>
        <w:rPr/>
        <w:t>Жељена</w:t>
      </w:r>
      <w:r>
        <w:rPr>
          <w:spacing w:val="-2"/>
        </w:rPr>
        <w:t> промена:</w:t>
      </w:r>
    </w:p>
    <w:p>
      <w:pPr>
        <w:pStyle w:val="BodyText"/>
        <w:spacing w:before="115"/>
        <w:ind w:left="1080"/>
        <w:jc w:val="left"/>
      </w:pPr>
      <w:r>
        <w:rPr/>
        <w:t>Функционално</w:t>
      </w:r>
      <w:r>
        <w:rPr>
          <w:spacing w:val="-6"/>
        </w:rPr>
        <w:t> </w:t>
      </w:r>
      <w:r>
        <w:rPr/>
        <w:t>тржиште</w:t>
      </w:r>
      <w:r>
        <w:rPr>
          <w:spacing w:val="-4"/>
        </w:rPr>
        <w:t> </w:t>
      </w:r>
      <w:r>
        <w:rPr/>
        <w:t>рада</w:t>
      </w:r>
      <w:r>
        <w:rPr>
          <w:spacing w:val="-5"/>
        </w:rPr>
        <w:t> </w:t>
      </w:r>
      <w:r>
        <w:rPr/>
        <w:t>које</w:t>
      </w:r>
      <w:r>
        <w:rPr>
          <w:spacing w:val="-3"/>
        </w:rPr>
        <w:t> </w:t>
      </w:r>
      <w:r>
        <w:rPr/>
        <w:t>карактерише</w:t>
      </w:r>
      <w:r>
        <w:rPr>
          <w:spacing w:val="-4"/>
        </w:rPr>
        <w:t> </w:t>
      </w:r>
      <w:r>
        <w:rPr/>
        <w:t>пуна</w:t>
      </w:r>
      <w:r>
        <w:rPr>
          <w:spacing w:val="-5"/>
        </w:rPr>
        <w:t> </w:t>
      </w:r>
      <w:r>
        <w:rPr/>
        <w:t>и</w:t>
      </w:r>
      <w:r>
        <w:rPr>
          <w:spacing w:val="-3"/>
        </w:rPr>
        <w:t> </w:t>
      </w:r>
      <w:r>
        <w:rPr/>
        <w:t>продуктивна</w:t>
      </w:r>
      <w:r>
        <w:rPr>
          <w:spacing w:val="-4"/>
        </w:rPr>
        <w:t> </w:t>
      </w:r>
      <w:r>
        <w:rPr>
          <w:spacing w:val="-2"/>
        </w:rPr>
        <w:t>запосленост.</w:t>
      </w:r>
    </w:p>
    <w:p>
      <w:pPr>
        <w:pStyle w:val="BodyText"/>
        <w:spacing w:before="33"/>
        <w:ind w:left="0"/>
        <w:jc w:val="left"/>
        <w:rPr>
          <w:sz w:val="20"/>
        </w:rPr>
      </w:pPr>
      <w:r>
        <w:rPr>
          <w:sz w:val="20"/>
        </w:rPr>
        <mc:AlternateContent>
          <mc:Choice Requires="wps">
            <w:drawing>
              <wp:anchor distT="0" distB="0" distL="0" distR="0" allowOverlap="1" layoutInCell="1" locked="0" behindDoc="1" simplePos="0" relativeHeight="487600128">
                <wp:simplePos x="0" y="0"/>
                <wp:positionH relativeFrom="page">
                  <wp:posOffset>914704</wp:posOffset>
                </wp:positionH>
                <wp:positionV relativeFrom="paragraph">
                  <wp:posOffset>182371</wp:posOffset>
                </wp:positionV>
                <wp:extent cx="1829435" cy="9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35993pt;width:144.020pt;height:.72003pt;mso-position-horizontal-relative:page;mso-position-vertical-relative:paragraph;z-index:-15716352;mso-wrap-distance-left:0;mso-wrap-distance-right:0" id="docshape26" filled="true" fillcolor="#000000" stroked="false">
                <v:fill type="solid"/>
                <w10:wrap type="topAndBottom"/>
              </v:rect>
            </w:pict>
          </mc:Fallback>
        </mc:AlternateContent>
      </w:r>
    </w:p>
    <w:p>
      <w:pPr>
        <w:spacing w:before="94"/>
        <w:ind w:left="360" w:right="0" w:firstLine="0"/>
        <w:jc w:val="left"/>
        <w:rPr>
          <w:sz w:val="18"/>
        </w:rPr>
      </w:pPr>
      <w:r>
        <w:rPr>
          <w:position w:val="6"/>
          <w:sz w:val="12"/>
        </w:rPr>
        <w:t>38</w:t>
      </w:r>
      <w:r>
        <w:rPr>
          <w:spacing w:val="13"/>
          <w:position w:val="6"/>
          <w:sz w:val="12"/>
        </w:rPr>
        <w:t> </w:t>
      </w:r>
      <w:r>
        <w:rPr>
          <w:sz w:val="18"/>
        </w:rPr>
        <w:t>Марјановић,</w:t>
      </w:r>
      <w:r>
        <w:rPr>
          <w:spacing w:val="-2"/>
          <w:sz w:val="18"/>
        </w:rPr>
        <w:t> </w:t>
      </w:r>
      <w:r>
        <w:rPr>
          <w:sz w:val="18"/>
        </w:rPr>
        <w:t>Г.,</w:t>
      </w:r>
      <w:r>
        <w:rPr>
          <w:spacing w:val="-2"/>
          <w:sz w:val="18"/>
        </w:rPr>
        <w:t> </w:t>
      </w:r>
      <w:r>
        <w:rPr>
          <w:sz w:val="18"/>
        </w:rPr>
        <w:t>Михајловић,</w:t>
      </w:r>
      <w:r>
        <w:rPr>
          <w:spacing w:val="-2"/>
          <w:sz w:val="18"/>
        </w:rPr>
        <w:t> </w:t>
      </w:r>
      <w:r>
        <w:rPr>
          <w:sz w:val="18"/>
        </w:rPr>
        <w:t>В.,</w:t>
      </w:r>
      <w:r>
        <w:rPr>
          <w:spacing w:val="-1"/>
          <w:sz w:val="18"/>
        </w:rPr>
        <w:t> </w:t>
      </w:r>
      <w:r>
        <w:rPr>
          <w:sz w:val="18"/>
        </w:rPr>
        <w:t>„Тржиште</w:t>
      </w:r>
      <w:r>
        <w:rPr>
          <w:spacing w:val="-2"/>
          <w:sz w:val="18"/>
        </w:rPr>
        <w:t> </w:t>
      </w:r>
      <w:r>
        <w:rPr>
          <w:sz w:val="18"/>
        </w:rPr>
        <w:t>рада</w:t>
      </w:r>
      <w:r>
        <w:rPr>
          <w:spacing w:val="-3"/>
          <w:sz w:val="18"/>
        </w:rPr>
        <w:t> </w:t>
      </w:r>
      <w:r>
        <w:rPr>
          <w:sz w:val="18"/>
        </w:rPr>
        <w:t>и</w:t>
      </w:r>
      <w:r>
        <w:rPr>
          <w:spacing w:val="-3"/>
          <w:sz w:val="18"/>
        </w:rPr>
        <w:t> </w:t>
      </w:r>
      <w:r>
        <w:rPr>
          <w:sz w:val="18"/>
        </w:rPr>
        <w:t>политика</w:t>
      </w:r>
      <w:r>
        <w:rPr>
          <w:spacing w:val="-2"/>
          <w:sz w:val="18"/>
        </w:rPr>
        <w:t> </w:t>
      </w:r>
      <w:r>
        <w:rPr>
          <w:sz w:val="18"/>
        </w:rPr>
        <w:t>запошљавања</w:t>
      </w:r>
      <w:r>
        <w:rPr>
          <w:spacing w:val="-1"/>
          <w:sz w:val="18"/>
        </w:rPr>
        <w:t> </w:t>
      </w:r>
      <w:r>
        <w:rPr>
          <w:sz w:val="18"/>
        </w:rPr>
        <w:t>у</w:t>
      </w:r>
      <w:r>
        <w:rPr>
          <w:spacing w:val="-6"/>
          <w:sz w:val="18"/>
        </w:rPr>
        <w:t> </w:t>
      </w:r>
      <w:r>
        <w:rPr>
          <w:sz w:val="18"/>
        </w:rPr>
        <w:t>ЕУ</w:t>
      </w:r>
      <w:r>
        <w:rPr>
          <w:spacing w:val="-2"/>
          <w:sz w:val="18"/>
        </w:rPr>
        <w:t> </w:t>
      </w:r>
      <w:r>
        <w:rPr>
          <w:sz w:val="18"/>
        </w:rPr>
        <w:t>и</w:t>
      </w:r>
      <w:r>
        <w:rPr>
          <w:spacing w:val="-2"/>
          <w:sz w:val="18"/>
        </w:rPr>
        <w:t> </w:t>
      </w:r>
      <w:r>
        <w:rPr>
          <w:sz w:val="18"/>
        </w:rPr>
        <w:t>поруке</w:t>
      </w:r>
      <w:r>
        <w:rPr>
          <w:spacing w:val="-3"/>
          <w:sz w:val="18"/>
        </w:rPr>
        <w:t> </w:t>
      </w:r>
      <w:r>
        <w:rPr>
          <w:sz w:val="18"/>
        </w:rPr>
        <w:t>за</w:t>
      </w:r>
      <w:r>
        <w:rPr>
          <w:spacing w:val="-3"/>
          <w:sz w:val="18"/>
        </w:rPr>
        <w:t> </w:t>
      </w:r>
      <w:r>
        <w:rPr>
          <w:sz w:val="18"/>
        </w:rPr>
        <w:t>Србију”,</w:t>
      </w:r>
      <w:r>
        <w:rPr>
          <w:spacing w:val="-1"/>
          <w:sz w:val="18"/>
        </w:rPr>
        <w:t> </w:t>
      </w:r>
      <w:r>
        <w:rPr>
          <w:spacing w:val="-2"/>
          <w:sz w:val="18"/>
        </w:rPr>
        <w:t>2015.</w:t>
      </w:r>
    </w:p>
    <w:p>
      <w:pPr>
        <w:spacing w:after="0"/>
        <w:jc w:val="left"/>
        <w:rPr>
          <w:sz w:val="18"/>
        </w:rPr>
        <w:sectPr>
          <w:pgSz w:w="12240" w:h="15840"/>
          <w:pgMar w:header="0" w:footer="702" w:top="1360" w:bottom="900" w:left="1080" w:right="720"/>
        </w:sectPr>
      </w:pPr>
    </w:p>
    <w:p>
      <w:pPr>
        <w:pStyle w:val="Heading1"/>
        <w:numPr>
          <w:ilvl w:val="0"/>
          <w:numId w:val="1"/>
        </w:numPr>
        <w:tabs>
          <w:tab w:pos="3833" w:val="left" w:leader="none"/>
        </w:tabs>
        <w:spacing w:line="240" w:lineRule="auto" w:before="77" w:after="0"/>
        <w:ind w:left="3833" w:right="0" w:hanging="357"/>
        <w:jc w:val="left"/>
      </w:pPr>
      <w:r>
        <w:rPr/>
        <w:t>ЦИЉЕВИ</w:t>
      </w:r>
      <w:r>
        <w:rPr>
          <w:spacing w:val="-1"/>
        </w:rPr>
        <w:t> </w:t>
      </w:r>
      <w:r>
        <w:rPr>
          <w:spacing w:val="-2"/>
        </w:rPr>
        <w:t>СТРАТЕГИЈЕ</w:t>
      </w:r>
    </w:p>
    <w:p>
      <w:pPr>
        <w:pStyle w:val="BodyText"/>
        <w:ind w:left="0"/>
        <w:jc w:val="left"/>
        <w:rPr>
          <w:b/>
          <w:sz w:val="20"/>
        </w:rPr>
      </w:pPr>
    </w:p>
    <w:p>
      <w:pPr>
        <w:pStyle w:val="BodyText"/>
        <w:spacing w:before="76"/>
        <w:ind w:left="0"/>
        <w:jc w:val="left"/>
        <w:rPr>
          <w:b/>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616"/>
        <w:gridCol w:w="3616"/>
      </w:tblGrid>
      <w:tr>
        <w:trPr>
          <w:trHeight w:val="1067" w:hRule="atLeast"/>
        </w:trPr>
        <w:tc>
          <w:tcPr>
            <w:tcW w:w="9354" w:type="dxa"/>
            <w:gridSpan w:val="3"/>
            <w:shd w:val="clear" w:color="auto" w:fill="E7E6E6"/>
          </w:tcPr>
          <w:p>
            <w:pPr>
              <w:pStyle w:val="TableParagraph"/>
              <w:spacing w:line="273" w:lineRule="exact"/>
              <w:ind w:left="107"/>
              <w:rPr>
                <w:b/>
                <w:sz w:val="24"/>
              </w:rPr>
            </w:pPr>
            <w:r>
              <w:rPr>
                <w:b/>
                <w:sz w:val="24"/>
              </w:rPr>
              <w:t>Општи</w:t>
            </w:r>
            <w:r>
              <w:rPr>
                <w:b/>
                <w:spacing w:val="-3"/>
                <w:sz w:val="24"/>
              </w:rPr>
              <w:t> </w:t>
            </w:r>
            <w:r>
              <w:rPr>
                <w:b/>
                <w:spacing w:val="-5"/>
                <w:sz w:val="24"/>
              </w:rPr>
              <w:t>циљ</w:t>
            </w:r>
          </w:p>
          <w:p>
            <w:pPr>
              <w:pStyle w:val="TableParagraph"/>
              <w:spacing w:before="120"/>
              <w:ind w:left="107" w:right="26"/>
              <w:rPr>
                <w:b/>
                <w:sz w:val="24"/>
              </w:rPr>
            </w:pPr>
            <w:r>
              <w:rPr>
                <w:b/>
                <w:sz w:val="24"/>
              </w:rPr>
              <w:t>Успостављен</w:t>
            </w:r>
            <w:r>
              <w:rPr>
                <w:b/>
                <w:spacing w:val="-12"/>
                <w:sz w:val="24"/>
              </w:rPr>
              <w:t> </w:t>
            </w:r>
            <w:r>
              <w:rPr>
                <w:b/>
                <w:sz w:val="24"/>
              </w:rPr>
              <w:t>стабилан</w:t>
            </w:r>
            <w:r>
              <w:rPr>
                <w:b/>
                <w:spacing w:val="-12"/>
                <w:sz w:val="24"/>
              </w:rPr>
              <w:t> </w:t>
            </w:r>
            <w:r>
              <w:rPr>
                <w:b/>
                <w:sz w:val="24"/>
              </w:rPr>
              <w:t>и</w:t>
            </w:r>
            <w:r>
              <w:rPr>
                <w:b/>
                <w:spacing w:val="-14"/>
                <w:sz w:val="24"/>
              </w:rPr>
              <w:t> </w:t>
            </w:r>
            <w:r>
              <w:rPr>
                <w:b/>
                <w:sz w:val="24"/>
              </w:rPr>
              <w:t>одрживи</w:t>
            </w:r>
            <w:r>
              <w:rPr>
                <w:b/>
                <w:spacing w:val="-14"/>
                <w:sz w:val="24"/>
              </w:rPr>
              <w:t> </w:t>
            </w:r>
            <w:r>
              <w:rPr>
                <w:b/>
                <w:sz w:val="24"/>
              </w:rPr>
              <w:t>раст</w:t>
            </w:r>
            <w:r>
              <w:rPr>
                <w:b/>
                <w:spacing w:val="-11"/>
                <w:sz w:val="24"/>
              </w:rPr>
              <w:t> </w:t>
            </w:r>
            <w:r>
              <w:rPr>
                <w:b/>
                <w:sz w:val="24"/>
              </w:rPr>
              <w:t>запослености</w:t>
            </w:r>
            <w:r>
              <w:rPr>
                <w:b/>
                <w:spacing w:val="-12"/>
                <w:sz w:val="24"/>
              </w:rPr>
              <w:t> </w:t>
            </w:r>
            <w:r>
              <w:rPr>
                <w:b/>
                <w:sz w:val="24"/>
              </w:rPr>
              <w:t>заснован</w:t>
            </w:r>
            <w:r>
              <w:rPr>
                <w:b/>
                <w:spacing w:val="-14"/>
                <w:sz w:val="24"/>
              </w:rPr>
              <w:t> </w:t>
            </w:r>
            <w:r>
              <w:rPr>
                <w:b/>
                <w:sz w:val="24"/>
              </w:rPr>
              <w:t>на</w:t>
            </w:r>
            <w:r>
              <w:rPr>
                <w:b/>
                <w:spacing w:val="-15"/>
                <w:sz w:val="24"/>
              </w:rPr>
              <w:t> </w:t>
            </w:r>
            <w:r>
              <w:rPr>
                <w:b/>
                <w:sz w:val="24"/>
              </w:rPr>
              <w:t>људском</w:t>
            </w:r>
            <w:r>
              <w:rPr>
                <w:b/>
                <w:spacing w:val="-13"/>
                <w:sz w:val="24"/>
              </w:rPr>
              <w:t> </w:t>
            </w:r>
            <w:r>
              <w:rPr>
                <w:b/>
                <w:sz w:val="24"/>
              </w:rPr>
              <w:t>капиталу и достојанственом раду</w:t>
            </w:r>
          </w:p>
        </w:tc>
      </w:tr>
      <w:tr>
        <w:trPr>
          <w:trHeight w:val="745" w:hRule="atLeast"/>
        </w:trPr>
        <w:tc>
          <w:tcPr>
            <w:tcW w:w="2122" w:type="dxa"/>
          </w:tcPr>
          <w:p>
            <w:pPr>
              <w:pStyle w:val="TableParagraph"/>
              <w:spacing w:before="192"/>
              <w:ind w:left="107"/>
              <w:rPr>
                <w:i/>
                <w:sz w:val="20"/>
              </w:rPr>
            </w:pPr>
            <w:r>
              <w:rPr>
                <w:i/>
                <w:sz w:val="20"/>
              </w:rPr>
              <w:t>Показатељ</w:t>
            </w:r>
            <w:r>
              <w:rPr>
                <w:i/>
                <w:spacing w:val="-11"/>
                <w:sz w:val="20"/>
              </w:rPr>
              <w:t> </w:t>
            </w:r>
            <w:r>
              <w:rPr>
                <w:i/>
                <w:spacing w:val="-2"/>
                <w:sz w:val="20"/>
              </w:rPr>
              <w:t>ефекта</w:t>
            </w:r>
          </w:p>
        </w:tc>
        <w:tc>
          <w:tcPr>
            <w:tcW w:w="7232" w:type="dxa"/>
            <w:gridSpan w:val="2"/>
          </w:tcPr>
          <w:p>
            <w:pPr>
              <w:pStyle w:val="TableParagraph"/>
              <w:spacing w:line="247" w:lineRule="exact"/>
              <w:ind w:left="107"/>
              <w:rPr>
                <w:sz w:val="22"/>
              </w:rPr>
            </w:pPr>
            <w:r>
              <w:rPr>
                <w:sz w:val="22"/>
              </w:rPr>
              <w:t>Стопа</w:t>
            </w:r>
            <w:r>
              <w:rPr>
                <w:spacing w:val="-5"/>
                <w:sz w:val="22"/>
              </w:rPr>
              <w:t> </w:t>
            </w:r>
            <w:r>
              <w:rPr>
                <w:sz w:val="22"/>
              </w:rPr>
              <w:t>запослености</w:t>
            </w:r>
            <w:r>
              <w:rPr>
                <w:spacing w:val="-4"/>
                <w:sz w:val="22"/>
              </w:rPr>
              <w:t> </w:t>
            </w:r>
            <w:r>
              <w:rPr>
                <w:sz w:val="22"/>
              </w:rPr>
              <w:t>по</w:t>
            </w:r>
            <w:r>
              <w:rPr>
                <w:spacing w:val="-4"/>
                <w:sz w:val="22"/>
              </w:rPr>
              <w:t> </w:t>
            </w:r>
            <w:r>
              <w:rPr>
                <w:sz w:val="22"/>
              </w:rPr>
              <w:t>старосним</w:t>
            </w:r>
            <w:r>
              <w:rPr>
                <w:spacing w:val="-4"/>
                <w:sz w:val="22"/>
              </w:rPr>
              <w:t> </w:t>
            </w:r>
            <w:r>
              <w:rPr>
                <w:sz w:val="22"/>
              </w:rPr>
              <w:t>групама</w:t>
            </w:r>
            <w:r>
              <w:rPr>
                <w:spacing w:val="-6"/>
                <w:sz w:val="22"/>
              </w:rPr>
              <w:t> </w:t>
            </w:r>
            <w:r>
              <w:rPr>
                <w:sz w:val="22"/>
              </w:rPr>
              <w:t>(15-64,</w:t>
            </w:r>
            <w:r>
              <w:rPr>
                <w:spacing w:val="-4"/>
                <w:sz w:val="22"/>
              </w:rPr>
              <w:t> </w:t>
            </w:r>
            <w:r>
              <w:rPr>
                <w:sz w:val="22"/>
              </w:rPr>
              <w:t>20-64,</w:t>
            </w:r>
            <w:r>
              <w:rPr>
                <w:spacing w:val="-4"/>
                <w:sz w:val="22"/>
              </w:rPr>
              <w:t> 15+)</w:t>
            </w:r>
          </w:p>
          <w:p>
            <w:pPr>
              <w:pStyle w:val="TableParagraph"/>
              <w:spacing w:before="121"/>
              <w:ind w:left="107"/>
              <w:rPr>
                <w:sz w:val="22"/>
              </w:rPr>
            </w:pPr>
            <w:r>
              <w:rPr>
                <w:sz w:val="22"/>
              </w:rPr>
              <w:t>Стопа</w:t>
            </w:r>
            <w:r>
              <w:rPr>
                <w:spacing w:val="-5"/>
                <w:sz w:val="22"/>
              </w:rPr>
              <w:t> </w:t>
            </w:r>
            <w:r>
              <w:rPr>
                <w:sz w:val="22"/>
              </w:rPr>
              <w:t>активности</w:t>
            </w:r>
            <w:r>
              <w:rPr>
                <w:spacing w:val="-5"/>
                <w:sz w:val="22"/>
              </w:rPr>
              <w:t> </w:t>
            </w:r>
            <w:r>
              <w:rPr>
                <w:sz w:val="22"/>
              </w:rPr>
              <w:t>по</w:t>
            </w:r>
            <w:r>
              <w:rPr>
                <w:spacing w:val="-7"/>
                <w:sz w:val="22"/>
              </w:rPr>
              <w:t> </w:t>
            </w:r>
            <w:r>
              <w:rPr>
                <w:sz w:val="22"/>
              </w:rPr>
              <w:t>старосним</w:t>
            </w:r>
            <w:r>
              <w:rPr>
                <w:spacing w:val="-4"/>
                <w:sz w:val="22"/>
              </w:rPr>
              <w:t> </w:t>
            </w:r>
            <w:r>
              <w:rPr>
                <w:sz w:val="22"/>
              </w:rPr>
              <w:t>групама</w:t>
            </w:r>
            <w:r>
              <w:rPr>
                <w:spacing w:val="-5"/>
                <w:sz w:val="22"/>
              </w:rPr>
              <w:t> </w:t>
            </w:r>
            <w:r>
              <w:rPr>
                <w:sz w:val="22"/>
              </w:rPr>
              <w:t>(15-64,</w:t>
            </w:r>
            <w:r>
              <w:rPr>
                <w:spacing w:val="-4"/>
                <w:sz w:val="22"/>
              </w:rPr>
              <w:t> </w:t>
            </w:r>
            <w:r>
              <w:rPr>
                <w:sz w:val="22"/>
              </w:rPr>
              <w:t>20-64,</w:t>
            </w:r>
            <w:r>
              <w:rPr>
                <w:spacing w:val="-4"/>
                <w:sz w:val="22"/>
              </w:rPr>
              <w:t> 15+)</w:t>
            </w:r>
          </w:p>
        </w:tc>
      </w:tr>
      <w:tr>
        <w:trPr>
          <w:trHeight w:val="374" w:hRule="atLeast"/>
        </w:trPr>
        <w:tc>
          <w:tcPr>
            <w:tcW w:w="2122" w:type="dxa"/>
          </w:tcPr>
          <w:p>
            <w:pPr>
              <w:pStyle w:val="TableParagraph"/>
              <w:spacing w:before="5"/>
              <w:ind w:left="107"/>
              <w:rPr>
                <w:i/>
                <w:sz w:val="20"/>
              </w:rPr>
            </w:pPr>
            <w:r>
              <w:rPr>
                <w:i/>
                <w:sz w:val="20"/>
              </w:rPr>
              <w:t>Јединица</w:t>
            </w:r>
            <w:r>
              <w:rPr>
                <w:i/>
                <w:spacing w:val="-5"/>
                <w:sz w:val="20"/>
              </w:rPr>
              <w:t> </w:t>
            </w:r>
            <w:r>
              <w:rPr>
                <w:i/>
                <w:spacing w:val="-4"/>
                <w:sz w:val="20"/>
              </w:rPr>
              <w:t>мере</w:t>
            </w:r>
          </w:p>
        </w:tc>
        <w:tc>
          <w:tcPr>
            <w:tcW w:w="7232" w:type="dxa"/>
            <w:gridSpan w:val="2"/>
          </w:tcPr>
          <w:p>
            <w:pPr>
              <w:pStyle w:val="TableParagraph"/>
              <w:spacing w:line="247" w:lineRule="exact"/>
              <w:ind w:left="107"/>
              <w:rPr>
                <w:sz w:val="22"/>
              </w:rPr>
            </w:pPr>
            <w:r>
              <w:rPr>
                <w:sz w:val="22"/>
              </w:rPr>
              <w:t>Проценат</w:t>
            </w:r>
            <w:r>
              <w:rPr>
                <w:spacing w:val="-7"/>
                <w:sz w:val="22"/>
              </w:rPr>
              <w:t> </w:t>
            </w:r>
            <w:r>
              <w:rPr>
                <w:spacing w:val="-5"/>
                <w:sz w:val="22"/>
              </w:rPr>
              <w:t>(%)</w:t>
            </w:r>
          </w:p>
        </w:tc>
      </w:tr>
      <w:tr>
        <w:trPr>
          <w:trHeight w:val="257" w:hRule="atLeast"/>
        </w:trPr>
        <w:tc>
          <w:tcPr>
            <w:tcW w:w="2122" w:type="dxa"/>
            <w:tcBorders>
              <w:bottom w:val="nil"/>
            </w:tcBorders>
          </w:tcPr>
          <w:p>
            <w:pPr>
              <w:pStyle w:val="TableParagraph"/>
              <w:rPr>
                <w:sz w:val="18"/>
              </w:rPr>
            </w:pPr>
          </w:p>
        </w:tc>
        <w:tc>
          <w:tcPr>
            <w:tcW w:w="3616" w:type="dxa"/>
            <w:tcBorders>
              <w:bottom w:val="nil"/>
            </w:tcBorders>
          </w:tcPr>
          <w:p>
            <w:pPr>
              <w:pStyle w:val="TableParagraph"/>
              <w:spacing w:line="237" w:lineRule="exact"/>
              <w:ind w:left="107"/>
              <w:rPr>
                <w:b/>
                <w:sz w:val="22"/>
              </w:rPr>
            </w:pPr>
            <w:r>
              <w:rPr>
                <w:b/>
                <w:spacing w:val="-2"/>
                <w:sz w:val="22"/>
              </w:rPr>
              <w:t>2019:</w:t>
            </w:r>
          </w:p>
        </w:tc>
        <w:tc>
          <w:tcPr>
            <w:tcW w:w="3616" w:type="dxa"/>
            <w:tcBorders>
              <w:bottom w:val="nil"/>
            </w:tcBorders>
          </w:tcPr>
          <w:p>
            <w:pPr>
              <w:pStyle w:val="TableParagraph"/>
              <w:spacing w:line="231" w:lineRule="exact" w:before="6"/>
              <w:ind w:left="106"/>
              <w:rPr>
                <w:b/>
                <w:sz w:val="22"/>
              </w:rPr>
            </w:pPr>
            <w:r>
              <w:rPr>
                <w:b/>
                <w:spacing w:val="-2"/>
                <w:sz w:val="22"/>
              </w:rPr>
              <w:t>2026:</w:t>
            </w:r>
          </w:p>
        </w:tc>
      </w:tr>
      <w:tr>
        <w:trPr>
          <w:trHeight w:val="251" w:hRule="atLeast"/>
        </w:trPr>
        <w:tc>
          <w:tcPr>
            <w:tcW w:w="2122" w:type="dxa"/>
            <w:tcBorders>
              <w:top w:val="nil"/>
              <w:bottom w:val="nil"/>
            </w:tcBorders>
          </w:tcPr>
          <w:p>
            <w:pPr>
              <w:pStyle w:val="TableParagraph"/>
              <w:rPr>
                <w:sz w:val="18"/>
              </w:rPr>
            </w:pPr>
          </w:p>
        </w:tc>
        <w:tc>
          <w:tcPr>
            <w:tcW w:w="3616" w:type="dxa"/>
            <w:tcBorders>
              <w:top w:val="nil"/>
              <w:bottom w:val="nil"/>
            </w:tcBorders>
          </w:tcPr>
          <w:p>
            <w:pPr>
              <w:pStyle w:val="TableParagraph"/>
              <w:spacing w:line="232" w:lineRule="exact"/>
              <w:ind w:left="107"/>
              <w:rPr>
                <w:sz w:val="22"/>
              </w:rPr>
            </w:pPr>
            <w:r>
              <w:rPr>
                <w:sz w:val="22"/>
              </w:rPr>
              <w:t>Стопа</w:t>
            </w:r>
            <w:r>
              <w:rPr>
                <w:spacing w:val="-5"/>
                <w:sz w:val="22"/>
              </w:rPr>
              <w:t> </w:t>
            </w:r>
            <w:r>
              <w:rPr>
                <w:spacing w:val="-2"/>
                <w:sz w:val="22"/>
              </w:rPr>
              <w:t>запослености:</w:t>
            </w:r>
          </w:p>
        </w:tc>
        <w:tc>
          <w:tcPr>
            <w:tcW w:w="3616" w:type="dxa"/>
            <w:tcBorders>
              <w:top w:val="nil"/>
              <w:bottom w:val="nil"/>
            </w:tcBorders>
          </w:tcPr>
          <w:p>
            <w:pPr>
              <w:pStyle w:val="TableParagraph"/>
              <w:spacing w:line="232" w:lineRule="exact"/>
              <w:ind w:left="106"/>
              <w:rPr>
                <w:sz w:val="22"/>
              </w:rPr>
            </w:pPr>
            <w:r>
              <w:rPr>
                <w:sz w:val="22"/>
              </w:rPr>
              <w:t>Стопа</w:t>
            </w:r>
            <w:r>
              <w:rPr>
                <w:spacing w:val="-5"/>
                <w:sz w:val="22"/>
              </w:rPr>
              <w:t> </w:t>
            </w:r>
            <w:r>
              <w:rPr>
                <w:spacing w:val="-2"/>
                <w:sz w:val="22"/>
              </w:rPr>
              <w:t>запослености:</w:t>
            </w:r>
          </w:p>
        </w:tc>
      </w:tr>
      <w:tr>
        <w:trPr>
          <w:trHeight w:val="252" w:hRule="atLeast"/>
        </w:trPr>
        <w:tc>
          <w:tcPr>
            <w:tcW w:w="2122" w:type="dxa"/>
            <w:tcBorders>
              <w:top w:val="nil"/>
              <w:bottom w:val="nil"/>
            </w:tcBorders>
          </w:tcPr>
          <w:p>
            <w:pPr>
              <w:pStyle w:val="TableParagraph"/>
              <w:rPr>
                <w:sz w:val="18"/>
              </w:rPr>
            </w:pPr>
          </w:p>
        </w:tc>
        <w:tc>
          <w:tcPr>
            <w:tcW w:w="3616" w:type="dxa"/>
            <w:tcBorders>
              <w:top w:val="nil"/>
              <w:bottom w:val="nil"/>
            </w:tcBorders>
          </w:tcPr>
          <w:p>
            <w:pPr>
              <w:pStyle w:val="TableParagraph"/>
              <w:spacing w:line="232" w:lineRule="exact"/>
              <w:ind w:left="107"/>
              <w:rPr>
                <w:sz w:val="22"/>
              </w:rPr>
            </w:pPr>
            <w:r>
              <w:rPr>
                <w:sz w:val="22"/>
              </w:rPr>
              <w:t>15+ – </w:t>
            </w:r>
            <w:r>
              <w:rPr>
                <w:spacing w:val="-5"/>
                <w:sz w:val="22"/>
              </w:rPr>
              <w:t>49%</w:t>
            </w:r>
          </w:p>
        </w:tc>
        <w:tc>
          <w:tcPr>
            <w:tcW w:w="3616" w:type="dxa"/>
            <w:tcBorders>
              <w:top w:val="nil"/>
              <w:bottom w:val="nil"/>
            </w:tcBorders>
          </w:tcPr>
          <w:p>
            <w:pPr>
              <w:pStyle w:val="TableParagraph"/>
              <w:spacing w:line="232" w:lineRule="exact"/>
              <w:ind w:left="106"/>
              <w:rPr>
                <w:sz w:val="22"/>
              </w:rPr>
            </w:pPr>
            <w:r>
              <w:rPr>
                <w:sz w:val="22"/>
              </w:rPr>
              <w:t>15+ – </w:t>
            </w:r>
            <w:r>
              <w:rPr>
                <w:spacing w:val="-2"/>
                <w:sz w:val="22"/>
              </w:rPr>
              <w:t>52,9%</w:t>
            </w:r>
          </w:p>
        </w:tc>
      </w:tr>
      <w:tr>
        <w:trPr>
          <w:trHeight w:val="253" w:hRule="atLeast"/>
        </w:trPr>
        <w:tc>
          <w:tcPr>
            <w:tcW w:w="2122" w:type="dxa"/>
            <w:tcBorders>
              <w:top w:val="nil"/>
              <w:bottom w:val="nil"/>
            </w:tcBorders>
          </w:tcPr>
          <w:p>
            <w:pPr>
              <w:pStyle w:val="TableParagraph"/>
              <w:rPr>
                <w:sz w:val="18"/>
              </w:rPr>
            </w:pPr>
          </w:p>
        </w:tc>
        <w:tc>
          <w:tcPr>
            <w:tcW w:w="3616" w:type="dxa"/>
            <w:tcBorders>
              <w:top w:val="nil"/>
              <w:bottom w:val="nil"/>
            </w:tcBorders>
          </w:tcPr>
          <w:p>
            <w:pPr>
              <w:pStyle w:val="TableParagraph"/>
              <w:spacing w:line="233" w:lineRule="exact"/>
              <w:ind w:left="107"/>
              <w:rPr>
                <w:sz w:val="22"/>
              </w:rPr>
            </w:pPr>
            <w:r>
              <w:rPr>
                <w:sz w:val="22"/>
              </w:rPr>
              <w:t>15-64</w:t>
            </w:r>
            <w:r>
              <w:rPr>
                <w:spacing w:val="-2"/>
                <w:sz w:val="22"/>
              </w:rPr>
              <w:t> </w:t>
            </w:r>
            <w:r>
              <w:rPr>
                <w:sz w:val="22"/>
              </w:rPr>
              <w:t>–</w:t>
            </w:r>
            <w:r>
              <w:rPr>
                <w:spacing w:val="-2"/>
                <w:sz w:val="22"/>
              </w:rPr>
              <w:t> 60,7%</w:t>
            </w:r>
          </w:p>
        </w:tc>
        <w:tc>
          <w:tcPr>
            <w:tcW w:w="3616" w:type="dxa"/>
            <w:tcBorders>
              <w:top w:val="nil"/>
              <w:bottom w:val="nil"/>
            </w:tcBorders>
          </w:tcPr>
          <w:p>
            <w:pPr>
              <w:pStyle w:val="TableParagraph"/>
              <w:spacing w:line="233" w:lineRule="exact"/>
              <w:ind w:left="106"/>
              <w:rPr>
                <w:sz w:val="22"/>
              </w:rPr>
            </w:pPr>
            <w:r>
              <w:rPr>
                <w:sz w:val="22"/>
              </w:rPr>
              <w:t>15-64</w:t>
            </w:r>
            <w:r>
              <w:rPr>
                <w:spacing w:val="-2"/>
                <w:sz w:val="22"/>
              </w:rPr>
              <w:t> </w:t>
            </w:r>
            <w:r>
              <w:rPr>
                <w:sz w:val="22"/>
              </w:rPr>
              <w:t>–</w:t>
            </w:r>
            <w:r>
              <w:rPr>
                <w:spacing w:val="-2"/>
                <w:sz w:val="22"/>
              </w:rPr>
              <w:t> 66,1%</w:t>
            </w:r>
          </w:p>
        </w:tc>
      </w:tr>
      <w:tr>
        <w:trPr>
          <w:trHeight w:val="345" w:hRule="atLeast"/>
        </w:trPr>
        <w:tc>
          <w:tcPr>
            <w:tcW w:w="2122" w:type="dxa"/>
            <w:tcBorders>
              <w:top w:val="nil"/>
              <w:bottom w:val="nil"/>
            </w:tcBorders>
          </w:tcPr>
          <w:p>
            <w:pPr>
              <w:pStyle w:val="TableParagraph"/>
              <w:rPr>
                <w:sz w:val="22"/>
              </w:rPr>
            </w:pPr>
          </w:p>
        </w:tc>
        <w:tc>
          <w:tcPr>
            <w:tcW w:w="3616" w:type="dxa"/>
            <w:tcBorders>
              <w:top w:val="nil"/>
              <w:bottom w:val="nil"/>
            </w:tcBorders>
          </w:tcPr>
          <w:p>
            <w:pPr>
              <w:pStyle w:val="TableParagraph"/>
              <w:spacing w:line="246" w:lineRule="exact"/>
              <w:ind w:left="107"/>
              <w:rPr>
                <w:sz w:val="22"/>
              </w:rPr>
            </w:pPr>
            <w:r>
              <w:rPr>
                <w:sz w:val="22"/>
              </w:rPr>
              <w:t>20-64</w:t>
            </w:r>
            <w:r>
              <w:rPr>
                <w:spacing w:val="-2"/>
                <w:sz w:val="22"/>
              </w:rPr>
              <w:t> </w:t>
            </w:r>
            <w:r>
              <w:rPr>
                <w:sz w:val="22"/>
              </w:rPr>
              <w:t>–</w:t>
            </w:r>
            <w:r>
              <w:rPr>
                <w:spacing w:val="-2"/>
                <w:sz w:val="22"/>
              </w:rPr>
              <w:t> 65,1%</w:t>
            </w:r>
          </w:p>
        </w:tc>
        <w:tc>
          <w:tcPr>
            <w:tcW w:w="3616" w:type="dxa"/>
            <w:tcBorders>
              <w:top w:val="nil"/>
              <w:bottom w:val="nil"/>
            </w:tcBorders>
          </w:tcPr>
          <w:p>
            <w:pPr>
              <w:pStyle w:val="TableParagraph"/>
              <w:ind w:left="106"/>
              <w:rPr>
                <w:sz w:val="22"/>
              </w:rPr>
            </w:pPr>
            <w:r>
              <w:rPr>
                <w:sz w:val="22"/>
              </w:rPr>
              <w:t>20-64</w:t>
            </w:r>
            <w:r>
              <w:rPr>
                <w:spacing w:val="-2"/>
                <w:sz w:val="22"/>
              </w:rPr>
              <w:t> </w:t>
            </w:r>
            <w:r>
              <w:rPr>
                <w:sz w:val="22"/>
              </w:rPr>
              <w:t>–</w:t>
            </w:r>
            <w:r>
              <w:rPr>
                <w:spacing w:val="-2"/>
                <w:sz w:val="22"/>
              </w:rPr>
              <w:t> 70,7%</w:t>
            </w:r>
          </w:p>
        </w:tc>
      </w:tr>
      <w:tr>
        <w:trPr>
          <w:trHeight w:val="344" w:hRule="atLeast"/>
        </w:trPr>
        <w:tc>
          <w:tcPr>
            <w:tcW w:w="2122" w:type="dxa"/>
            <w:tcBorders>
              <w:top w:val="nil"/>
              <w:bottom w:val="nil"/>
            </w:tcBorders>
          </w:tcPr>
          <w:p>
            <w:pPr>
              <w:pStyle w:val="TableParagraph"/>
              <w:rPr>
                <w:sz w:val="22"/>
              </w:rPr>
            </w:pPr>
          </w:p>
        </w:tc>
        <w:tc>
          <w:tcPr>
            <w:tcW w:w="3616" w:type="dxa"/>
            <w:tcBorders>
              <w:top w:val="nil"/>
              <w:bottom w:val="nil"/>
            </w:tcBorders>
          </w:tcPr>
          <w:p>
            <w:pPr>
              <w:pStyle w:val="TableParagraph"/>
              <w:spacing w:line="240" w:lineRule="exact" w:before="84"/>
              <w:ind w:left="107"/>
              <w:rPr>
                <w:sz w:val="22"/>
              </w:rPr>
            </w:pPr>
            <w:r>
              <w:rPr>
                <w:sz w:val="22"/>
              </w:rPr>
              <w:t>Стопа</w:t>
            </w:r>
            <w:r>
              <w:rPr>
                <w:spacing w:val="-5"/>
                <w:sz w:val="22"/>
              </w:rPr>
              <w:t> </w:t>
            </w:r>
            <w:r>
              <w:rPr>
                <w:spacing w:val="-2"/>
                <w:sz w:val="22"/>
              </w:rPr>
              <w:t>активности:</w:t>
            </w:r>
          </w:p>
        </w:tc>
        <w:tc>
          <w:tcPr>
            <w:tcW w:w="3616" w:type="dxa"/>
            <w:tcBorders>
              <w:top w:val="nil"/>
              <w:bottom w:val="nil"/>
            </w:tcBorders>
          </w:tcPr>
          <w:p>
            <w:pPr>
              <w:pStyle w:val="TableParagraph"/>
              <w:spacing w:line="233" w:lineRule="exact" w:before="91"/>
              <w:ind w:left="106"/>
              <w:rPr>
                <w:sz w:val="22"/>
              </w:rPr>
            </w:pPr>
            <w:r>
              <w:rPr>
                <w:sz w:val="22"/>
              </w:rPr>
              <w:t>Стопа</w:t>
            </w:r>
            <w:r>
              <w:rPr>
                <w:spacing w:val="-5"/>
                <w:sz w:val="22"/>
              </w:rPr>
              <w:t> </w:t>
            </w:r>
            <w:r>
              <w:rPr>
                <w:spacing w:val="-2"/>
                <w:sz w:val="22"/>
              </w:rPr>
              <w:t>активности:</w:t>
            </w:r>
          </w:p>
        </w:tc>
      </w:tr>
      <w:tr>
        <w:trPr>
          <w:trHeight w:val="889" w:hRule="atLeast"/>
        </w:trPr>
        <w:tc>
          <w:tcPr>
            <w:tcW w:w="2122" w:type="dxa"/>
            <w:tcBorders>
              <w:top w:val="nil"/>
              <w:bottom w:val="nil"/>
            </w:tcBorders>
          </w:tcPr>
          <w:p>
            <w:pPr>
              <w:pStyle w:val="TableParagraph"/>
              <w:spacing w:before="55"/>
              <w:ind w:left="107"/>
              <w:rPr>
                <w:i/>
                <w:sz w:val="20"/>
              </w:rPr>
            </w:pPr>
            <w:r>
              <w:rPr>
                <w:i/>
                <w:sz w:val="20"/>
              </w:rPr>
              <w:t>Почетна</w:t>
            </w:r>
            <w:r>
              <w:rPr>
                <w:i/>
                <w:spacing w:val="-13"/>
                <w:sz w:val="20"/>
              </w:rPr>
              <w:t> </w:t>
            </w:r>
            <w:r>
              <w:rPr>
                <w:i/>
                <w:sz w:val="20"/>
              </w:rPr>
              <w:t>и</w:t>
            </w:r>
            <w:r>
              <w:rPr>
                <w:i/>
                <w:spacing w:val="-12"/>
                <w:sz w:val="20"/>
              </w:rPr>
              <w:t> </w:t>
            </w:r>
            <w:r>
              <w:rPr>
                <w:i/>
                <w:sz w:val="20"/>
              </w:rPr>
              <w:t>циљана </w:t>
            </w:r>
            <w:r>
              <w:rPr>
                <w:i/>
                <w:spacing w:val="-2"/>
                <w:sz w:val="20"/>
              </w:rPr>
              <w:t>вредност</w:t>
            </w:r>
          </w:p>
        </w:tc>
        <w:tc>
          <w:tcPr>
            <w:tcW w:w="3616" w:type="dxa"/>
            <w:tcBorders>
              <w:top w:val="nil"/>
              <w:bottom w:val="nil"/>
            </w:tcBorders>
          </w:tcPr>
          <w:p>
            <w:pPr>
              <w:pStyle w:val="TableParagraph"/>
              <w:spacing w:line="244" w:lineRule="exact"/>
              <w:ind w:left="107"/>
              <w:rPr>
                <w:sz w:val="22"/>
              </w:rPr>
            </w:pPr>
            <w:r>
              <w:rPr>
                <w:sz w:val="22"/>
              </w:rPr>
              <w:t>15+ – </w:t>
            </w:r>
            <w:r>
              <w:rPr>
                <w:spacing w:val="-2"/>
                <w:sz w:val="22"/>
              </w:rPr>
              <w:t>54,6%</w:t>
            </w:r>
          </w:p>
          <w:p>
            <w:pPr>
              <w:pStyle w:val="TableParagraph"/>
              <w:spacing w:line="252" w:lineRule="exact"/>
              <w:ind w:left="107"/>
              <w:rPr>
                <w:sz w:val="22"/>
              </w:rPr>
            </w:pPr>
            <w:r>
              <w:rPr>
                <w:sz w:val="22"/>
              </w:rPr>
              <w:t>15-64</w:t>
            </w:r>
            <w:r>
              <w:rPr>
                <w:spacing w:val="-2"/>
                <w:sz w:val="22"/>
              </w:rPr>
              <w:t> </w:t>
            </w:r>
            <w:r>
              <w:rPr>
                <w:sz w:val="22"/>
              </w:rPr>
              <w:t>–</w:t>
            </w:r>
            <w:r>
              <w:rPr>
                <w:spacing w:val="-2"/>
                <w:sz w:val="22"/>
              </w:rPr>
              <w:t> 68,1%</w:t>
            </w:r>
          </w:p>
          <w:p>
            <w:pPr>
              <w:pStyle w:val="TableParagraph"/>
              <w:spacing w:before="1"/>
              <w:ind w:left="107"/>
              <w:rPr>
                <w:sz w:val="22"/>
              </w:rPr>
            </w:pPr>
            <w:r>
              <w:rPr>
                <w:sz w:val="22"/>
              </w:rPr>
              <w:t>20-64</w:t>
            </w:r>
            <w:r>
              <w:rPr>
                <w:spacing w:val="-2"/>
                <w:sz w:val="22"/>
              </w:rPr>
              <w:t> </w:t>
            </w:r>
            <w:r>
              <w:rPr>
                <w:sz w:val="22"/>
              </w:rPr>
              <w:t>–</w:t>
            </w:r>
            <w:r>
              <w:rPr>
                <w:spacing w:val="-2"/>
                <w:sz w:val="22"/>
              </w:rPr>
              <w:t> 72,9%</w:t>
            </w:r>
          </w:p>
        </w:tc>
        <w:tc>
          <w:tcPr>
            <w:tcW w:w="3616" w:type="dxa"/>
            <w:tcBorders>
              <w:top w:val="nil"/>
              <w:bottom w:val="nil"/>
            </w:tcBorders>
          </w:tcPr>
          <w:p>
            <w:pPr>
              <w:pStyle w:val="TableParagraph"/>
              <w:spacing w:line="252" w:lineRule="exact"/>
              <w:ind w:left="106"/>
              <w:rPr>
                <w:sz w:val="22"/>
              </w:rPr>
            </w:pPr>
            <w:r>
              <w:rPr>
                <w:sz w:val="22"/>
              </w:rPr>
              <w:t>15+ – </w:t>
            </w:r>
            <w:r>
              <w:rPr>
                <w:spacing w:val="-5"/>
                <w:sz w:val="22"/>
              </w:rPr>
              <w:t>58%</w:t>
            </w:r>
          </w:p>
          <w:p>
            <w:pPr>
              <w:pStyle w:val="TableParagraph"/>
              <w:spacing w:line="252" w:lineRule="exact" w:before="1"/>
              <w:ind w:left="106"/>
              <w:rPr>
                <w:sz w:val="22"/>
              </w:rPr>
            </w:pPr>
            <w:r>
              <w:rPr>
                <w:sz w:val="22"/>
              </w:rPr>
              <w:t>15-64</w:t>
            </w:r>
            <w:r>
              <w:rPr>
                <w:spacing w:val="-4"/>
                <w:sz w:val="22"/>
              </w:rPr>
              <w:t> </w:t>
            </w:r>
            <w:r>
              <w:rPr>
                <w:spacing w:val="-2"/>
                <w:sz w:val="22"/>
              </w:rPr>
              <w:t>–72,8%</w:t>
            </w:r>
          </w:p>
          <w:p>
            <w:pPr>
              <w:pStyle w:val="TableParagraph"/>
              <w:spacing w:line="252" w:lineRule="exact"/>
              <w:ind w:left="106"/>
              <w:rPr>
                <w:sz w:val="22"/>
              </w:rPr>
            </w:pPr>
            <w:r>
              <w:rPr>
                <w:sz w:val="22"/>
              </w:rPr>
              <w:t>20-64</w:t>
            </w:r>
            <w:r>
              <w:rPr>
                <w:spacing w:val="-4"/>
                <w:sz w:val="22"/>
              </w:rPr>
              <w:t> </w:t>
            </w:r>
            <w:r>
              <w:rPr>
                <w:spacing w:val="-2"/>
                <w:sz w:val="22"/>
              </w:rPr>
              <w:t>–77,8%</w:t>
            </w:r>
          </w:p>
        </w:tc>
      </w:tr>
      <w:tr>
        <w:trPr>
          <w:trHeight w:val="383" w:hRule="atLeast"/>
        </w:trPr>
        <w:tc>
          <w:tcPr>
            <w:tcW w:w="2122" w:type="dxa"/>
            <w:tcBorders>
              <w:top w:val="nil"/>
              <w:bottom w:val="nil"/>
            </w:tcBorders>
          </w:tcPr>
          <w:p>
            <w:pPr>
              <w:pStyle w:val="TableParagraph"/>
              <w:rPr>
                <w:sz w:val="22"/>
              </w:rPr>
            </w:pPr>
          </w:p>
        </w:tc>
        <w:tc>
          <w:tcPr>
            <w:tcW w:w="3616" w:type="dxa"/>
            <w:tcBorders>
              <w:top w:val="nil"/>
              <w:bottom w:val="nil"/>
            </w:tcBorders>
          </w:tcPr>
          <w:p>
            <w:pPr>
              <w:pStyle w:val="TableParagraph"/>
              <w:spacing w:line="233" w:lineRule="exact" w:before="129"/>
              <w:ind w:left="107"/>
              <w:rPr>
                <w:sz w:val="22"/>
              </w:rPr>
            </w:pPr>
            <w:r>
              <w:rPr>
                <w:sz w:val="22"/>
              </w:rPr>
              <w:t>Стопа</w:t>
            </w:r>
            <w:r>
              <w:rPr>
                <w:spacing w:val="-5"/>
                <w:sz w:val="22"/>
              </w:rPr>
              <w:t> </w:t>
            </w:r>
            <w:r>
              <w:rPr>
                <w:spacing w:val="-2"/>
                <w:sz w:val="22"/>
              </w:rPr>
              <w:t>незапослености:</w:t>
            </w:r>
          </w:p>
        </w:tc>
        <w:tc>
          <w:tcPr>
            <w:tcW w:w="3616" w:type="dxa"/>
            <w:tcBorders>
              <w:top w:val="nil"/>
              <w:bottom w:val="nil"/>
            </w:tcBorders>
          </w:tcPr>
          <w:p>
            <w:pPr>
              <w:pStyle w:val="TableParagraph"/>
              <w:spacing w:line="241" w:lineRule="exact" w:before="122"/>
              <w:ind w:left="106"/>
              <w:rPr>
                <w:sz w:val="22"/>
              </w:rPr>
            </w:pPr>
            <w:r>
              <w:rPr>
                <w:sz w:val="22"/>
              </w:rPr>
              <w:t>Стопа</w:t>
            </w:r>
            <w:r>
              <w:rPr>
                <w:spacing w:val="-5"/>
                <w:sz w:val="22"/>
              </w:rPr>
              <w:t> </w:t>
            </w:r>
            <w:r>
              <w:rPr>
                <w:spacing w:val="-2"/>
                <w:sz w:val="22"/>
              </w:rPr>
              <w:t>незапослености:</w:t>
            </w:r>
          </w:p>
        </w:tc>
      </w:tr>
      <w:tr>
        <w:trPr>
          <w:trHeight w:val="254" w:hRule="atLeast"/>
        </w:trPr>
        <w:tc>
          <w:tcPr>
            <w:tcW w:w="2122" w:type="dxa"/>
            <w:tcBorders>
              <w:top w:val="nil"/>
              <w:bottom w:val="nil"/>
            </w:tcBorders>
          </w:tcPr>
          <w:p>
            <w:pPr>
              <w:pStyle w:val="TableParagraph"/>
              <w:rPr>
                <w:sz w:val="18"/>
              </w:rPr>
            </w:pPr>
          </w:p>
        </w:tc>
        <w:tc>
          <w:tcPr>
            <w:tcW w:w="3616" w:type="dxa"/>
            <w:tcBorders>
              <w:top w:val="nil"/>
              <w:bottom w:val="nil"/>
            </w:tcBorders>
          </w:tcPr>
          <w:p>
            <w:pPr>
              <w:pStyle w:val="TableParagraph"/>
              <w:spacing w:line="233" w:lineRule="exact" w:before="1"/>
              <w:ind w:left="107"/>
              <w:rPr>
                <w:sz w:val="22"/>
              </w:rPr>
            </w:pPr>
            <w:r>
              <w:rPr>
                <w:sz w:val="22"/>
              </w:rPr>
              <w:t>15+ – </w:t>
            </w:r>
            <w:r>
              <w:rPr>
                <w:spacing w:val="-2"/>
                <w:sz w:val="22"/>
              </w:rPr>
              <w:t>10,3%</w:t>
            </w:r>
          </w:p>
        </w:tc>
        <w:tc>
          <w:tcPr>
            <w:tcW w:w="3616" w:type="dxa"/>
            <w:tcBorders>
              <w:top w:val="nil"/>
              <w:bottom w:val="nil"/>
            </w:tcBorders>
          </w:tcPr>
          <w:p>
            <w:pPr>
              <w:pStyle w:val="TableParagraph"/>
              <w:spacing w:line="235" w:lineRule="exact"/>
              <w:ind w:left="106"/>
              <w:rPr>
                <w:sz w:val="22"/>
              </w:rPr>
            </w:pPr>
            <w:r>
              <w:rPr>
                <w:sz w:val="22"/>
              </w:rPr>
              <w:t>15+ – </w:t>
            </w:r>
            <w:r>
              <w:rPr>
                <w:spacing w:val="-4"/>
                <w:sz w:val="22"/>
              </w:rPr>
              <w:t>8,7%</w:t>
            </w:r>
          </w:p>
        </w:tc>
      </w:tr>
      <w:tr>
        <w:trPr>
          <w:trHeight w:val="251" w:hRule="atLeast"/>
        </w:trPr>
        <w:tc>
          <w:tcPr>
            <w:tcW w:w="2122" w:type="dxa"/>
            <w:tcBorders>
              <w:top w:val="nil"/>
              <w:bottom w:val="nil"/>
            </w:tcBorders>
          </w:tcPr>
          <w:p>
            <w:pPr>
              <w:pStyle w:val="TableParagraph"/>
              <w:rPr>
                <w:sz w:val="18"/>
              </w:rPr>
            </w:pPr>
          </w:p>
        </w:tc>
        <w:tc>
          <w:tcPr>
            <w:tcW w:w="3616" w:type="dxa"/>
            <w:tcBorders>
              <w:top w:val="nil"/>
              <w:bottom w:val="nil"/>
            </w:tcBorders>
          </w:tcPr>
          <w:p>
            <w:pPr>
              <w:pStyle w:val="TableParagraph"/>
              <w:spacing w:line="232" w:lineRule="exact"/>
              <w:ind w:left="107"/>
              <w:rPr>
                <w:sz w:val="22"/>
              </w:rPr>
            </w:pPr>
            <w:r>
              <w:rPr>
                <w:sz w:val="22"/>
              </w:rPr>
              <w:t>15-64</w:t>
            </w:r>
            <w:r>
              <w:rPr>
                <w:spacing w:val="-2"/>
                <w:sz w:val="22"/>
              </w:rPr>
              <w:t> </w:t>
            </w:r>
            <w:r>
              <w:rPr>
                <w:sz w:val="22"/>
              </w:rPr>
              <w:t>–</w:t>
            </w:r>
            <w:r>
              <w:rPr>
                <w:spacing w:val="-2"/>
                <w:sz w:val="22"/>
              </w:rPr>
              <w:t> 10,9%</w:t>
            </w:r>
          </w:p>
        </w:tc>
        <w:tc>
          <w:tcPr>
            <w:tcW w:w="3616" w:type="dxa"/>
            <w:tcBorders>
              <w:top w:val="nil"/>
              <w:bottom w:val="nil"/>
            </w:tcBorders>
          </w:tcPr>
          <w:p>
            <w:pPr>
              <w:pStyle w:val="TableParagraph"/>
              <w:spacing w:line="232" w:lineRule="exact"/>
              <w:ind w:left="106"/>
              <w:rPr>
                <w:sz w:val="22"/>
              </w:rPr>
            </w:pPr>
            <w:r>
              <w:rPr>
                <w:sz w:val="22"/>
              </w:rPr>
              <w:t>15-64</w:t>
            </w:r>
            <w:r>
              <w:rPr>
                <w:spacing w:val="-2"/>
                <w:sz w:val="22"/>
              </w:rPr>
              <w:t> </w:t>
            </w:r>
            <w:r>
              <w:rPr>
                <w:sz w:val="22"/>
              </w:rPr>
              <w:t>–</w:t>
            </w:r>
            <w:r>
              <w:rPr>
                <w:spacing w:val="-2"/>
                <w:sz w:val="22"/>
              </w:rPr>
              <w:t> </w:t>
            </w:r>
            <w:r>
              <w:rPr>
                <w:spacing w:val="-4"/>
                <w:sz w:val="22"/>
              </w:rPr>
              <w:t>9,2%</w:t>
            </w:r>
          </w:p>
        </w:tc>
      </w:tr>
      <w:tr>
        <w:trPr>
          <w:trHeight w:val="511" w:hRule="atLeast"/>
        </w:trPr>
        <w:tc>
          <w:tcPr>
            <w:tcW w:w="2122" w:type="dxa"/>
            <w:tcBorders>
              <w:top w:val="nil"/>
            </w:tcBorders>
          </w:tcPr>
          <w:p>
            <w:pPr>
              <w:pStyle w:val="TableParagraph"/>
              <w:rPr>
                <w:sz w:val="22"/>
              </w:rPr>
            </w:pPr>
          </w:p>
        </w:tc>
        <w:tc>
          <w:tcPr>
            <w:tcW w:w="3616" w:type="dxa"/>
            <w:tcBorders>
              <w:top w:val="nil"/>
            </w:tcBorders>
          </w:tcPr>
          <w:p>
            <w:pPr>
              <w:pStyle w:val="TableParagraph"/>
              <w:spacing w:line="252" w:lineRule="exact"/>
              <w:ind w:left="107"/>
              <w:rPr>
                <w:sz w:val="22"/>
              </w:rPr>
            </w:pPr>
            <w:r>
              <w:rPr>
                <w:sz w:val="22"/>
              </w:rPr>
              <w:t>20-64</w:t>
            </w:r>
            <w:r>
              <w:rPr>
                <w:spacing w:val="-2"/>
                <w:sz w:val="22"/>
              </w:rPr>
              <w:t> </w:t>
            </w:r>
            <w:r>
              <w:rPr>
                <w:sz w:val="22"/>
              </w:rPr>
              <w:t>–</w:t>
            </w:r>
            <w:r>
              <w:rPr>
                <w:spacing w:val="-2"/>
                <w:sz w:val="22"/>
              </w:rPr>
              <w:t> 10,6%</w:t>
            </w:r>
          </w:p>
        </w:tc>
        <w:tc>
          <w:tcPr>
            <w:tcW w:w="3616" w:type="dxa"/>
            <w:tcBorders>
              <w:top w:val="nil"/>
            </w:tcBorders>
          </w:tcPr>
          <w:p>
            <w:pPr>
              <w:pStyle w:val="TableParagraph"/>
              <w:spacing w:line="244" w:lineRule="exact"/>
              <w:ind w:left="106"/>
              <w:rPr>
                <w:sz w:val="22"/>
              </w:rPr>
            </w:pPr>
            <w:r>
              <w:rPr>
                <w:sz w:val="22"/>
              </w:rPr>
              <w:t>20-64</w:t>
            </w:r>
            <w:r>
              <w:rPr>
                <w:spacing w:val="-2"/>
                <w:sz w:val="22"/>
              </w:rPr>
              <w:t> </w:t>
            </w:r>
            <w:r>
              <w:rPr>
                <w:sz w:val="22"/>
              </w:rPr>
              <w:t>–</w:t>
            </w:r>
            <w:r>
              <w:rPr>
                <w:spacing w:val="-2"/>
                <w:sz w:val="22"/>
              </w:rPr>
              <w:t> </w:t>
            </w:r>
            <w:r>
              <w:rPr>
                <w:spacing w:val="-4"/>
                <w:sz w:val="22"/>
              </w:rPr>
              <w:t>9;1%</w:t>
            </w:r>
          </w:p>
        </w:tc>
      </w:tr>
      <w:tr>
        <w:trPr>
          <w:trHeight w:val="374" w:hRule="atLeast"/>
        </w:trPr>
        <w:tc>
          <w:tcPr>
            <w:tcW w:w="2122" w:type="dxa"/>
          </w:tcPr>
          <w:p>
            <w:pPr>
              <w:pStyle w:val="TableParagraph"/>
              <w:spacing w:before="5"/>
              <w:ind w:left="107"/>
              <w:rPr>
                <w:i/>
                <w:sz w:val="20"/>
              </w:rPr>
            </w:pPr>
            <w:r>
              <w:rPr>
                <w:i/>
                <w:sz w:val="20"/>
              </w:rPr>
              <w:t>Извор</w:t>
            </w:r>
            <w:r>
              <w:rPr>
                <w:i/>
                <w:spacing w:val="-6"/>
                <w:sz w:val="20"/>
              </w:rPr>
              <w:t> </w:t>
            </w:r>
            <w:r>
              <w:rPr>
                <w:i/>
                <w:spacing w:val="-2"/>
                <w:sz w:val="20"/>
              </w:rPr>
              <w:t>провере</w:t>
            </w:r>
          </w:p>
        </w:tc>
        <w:tc>
          <w:tcPr>
            <w:tcW w:w="7232" w:type="dxa"/>
            <w:gridSpan w:val="2"/>
          </w:tcPr>
          <w:p>
            <w:pPr>
              <w:pStyle w:val="TableParagraph"/>
              <w:spacing w:line="247" w:lineRule="exact"/>
              <w:ind w:left="107"/>
              <w:rPr>
                <w:sz w:val="22"/>
              </w:rPr>
            </w:pPr>
            <w:r>
              <w:rPr>
                <w:sz w:val="22"/>
              </w:rPr>
              <w:t>Анкета</w:t>
            </w:r>
            <w:r>
              <w:rPr>
                <w:spacing w:val="-4"/>
                <w:sz w:val="22"/>
              </w:rPr>
              <w:t> </w:t>
            </w:r>
            <w:r>
              <w:rPr>
                <w:sz w:val="22"/>
              </w:rPr>
              <w:t>о</w:t>
            </w:r>
            <w:r>
              <w:rPr>
                <w:spacing w:val="-4"/>
                <w:sz w:val="22"/>
              </w:rPr>
              <w:t> </w:t>
            </w:r>
            <w:r>
              <w:rPr>
                <w:sz w:val="22"/>
              </w:rPr>
              <w:t>радној</w:t>
            </w:r>
            <w:r>
              <w:rPr>
                <w:spacing w:val="-4"/>
                <w:sz w:val="22"/>
              </w:rPr>
              <w:t> </w:t>
            </w:r>
            <w:r>
              <w:rPr>
                <w:sz w:val="22"/>
              </w:rPr>
              <w:t>снази,</w:t>
            </w:r>
            <w:r>
              <w:rPr>
                <w:spacing w:val="-4"/>
                <w:sz w:val="22"/>
              </w:rPr>
              <w:t> </w:t>
            </w:r>
            <w:r>
              <w:rPr>
                <w:sz w:val="22"/>
              </w:rPr>
              <w:t>Републички</w:t>
            </w:r>
            <w:r>
              <w:rPr>
                <w:spacing w:val="-4"/>
                <w:sz w:val="22"/>
              </w:rPr>
              <w:t> </w:t>
            </w:r>
            <w:r>
              <w:rPr>
                <w:sz w:val="22"/>
              </w:rPr>
              <w:t>завод</w:t>
            </w:r>
            <w:r>
              <w:rPr>
                <w:spacing w:val="-4"/>
                <w:sz w:val="22"/>
              </w:rPr>
              <w:t> </w:t>
            </w:r>
            <w:r>
              <w:rPr>
                <w:sz w:val="22"/>
              </w:rPr>
              <w:t>за</w:t>
            </w:r>
            <w:r>
              <w:rPr>
                <w:spacing w:val="-3"/>
                <w:sz w:val="22"/>
              </w:rPr>
              <w:t> </w:t>
            </w:r>
            <w:r>
              <w:rPr>
                <w:spacing w:val="-2"/>
                <w:sz w:val="22"/>
              </w:rPr>
              <w:t>статистику</w:t>
            </w:r>
          </w:p>
        </w:tc>
      </w:tr>
    </w:tbl>
    <w:p>
      <w:pPr>
        <w:pStyle w:val="BodyText"/>
        <w:spacing w:before="147"/>
        <w:ind w:left="0"/>
        <w:jc w:val="left"/>
        <w:rPr>
          <w:b/>
          <w:sz w:val="20"/>
        </w:rPr>
      </w:pPr>
      <w:r>
        <w:rPr>
          <w:b/>
          <w:sz w:val="20"/>
        </w:rPr>
        <mc:AlternateContent>
          <mc:Choice Requires="wps">
            <w:drawing>
              <wp:anchor distT="0" distB="0" distL="0" distR="0" allowOverlap="1" layoutInCell="1" locked="0" behindDoc="1" simplePos="0" relativeHeight="487600640">
                <wp:simplePos x="0" y="0"/>
                <wp:positionH relativeFrom="page">
                  <wp:posOffset>896416</wp:posOffset>
                </wp:positionH>
                <wp:positionV relativeFrom="paragraph">
                  <wp:posOffset>254888</wp:posOffset>
                </wp:positionV>
                <wp:extent cx="5981065" cy="291465"/>
                <wp:effectExtent l="0" t="0" r="0" b="0"/>
                <wp:wrapTopAndBottom/>
                <wp:docPr id="29" name="Textbox 29"/>
                <wp:cNvGraphicFramePr>
                  <a:graphicFrameLocks/>
                </wp:cNvGraphicFramePr>
                <a:graphic>
                  <a:graphicData uri="http://schemas.microsoft.com/office/word/2010/wordprocessingShape">
                    <wps:wsp>
                      <wps:cNvPr id="29" name="Textbox 29"/>
                      <wps:cNvSpPr txBox="1"/>
                      <wps:spPr>
                        <a:xfrm>
                          <a:off x="0" y="0"/>
                          <a:ext cx="5981065" cy="291465"/>
                        </a:xfrm>
                        <a:prstGeom prst="rect">
                          <a:avLst/>
                        </a:prstGeom>
                        <a:solidFill>
                          <a:srgbClr val="E7E6E6"/>
                        </a:solidFill>
                      </wps:spPr>
                      <wps:txbx>
                        <w:txbxContent>
                          <w:p>
                            <w:pPr>
                              <w:spacing w:line="273" w:lineRule="exact" w:before="0"/>
                              <w:ind w:left="28" w:right="0" w:firstLine="0"/>
                              <w:jc w:val="left"/>
                              <w:rPr>
                                <w:b/>
                                <w:color w:val="000000"/>
                                <w:sz w:val="24"/>
                              </w:rPr>
                            </w:pPr>
                            <w:r>
                              <w:rPr>
                                <w:b/>
                                <w:color w:val="000000"/>
                                <w:sz w:val="24"/>
                              </w:rPr>
                              <w:t>Посебни</w:t>
                            </w:r>
                            <w:r>
                              <w:rPr>
                                <w:b/>
                                <w:color w:val="000000"/>
                                <w:spacing w:val="-4"/>
                                <w:sz w:val="24"/>
                              </w:rPr>
                              <w:t> </w:t>
                            </w:r>
                            <w:r>
                              <w:rPr>
                                <w:b/>
                                <w:color w:val="000000"/>
                                <w:sz w:val="24"/>
                              </w:rPr>
                              <w:t>циљ</w:t>
                            </w:r>
                            <w:r>
                              <w:rPr>
                                <w:b/>
                                <w:color w:val="000000"/>
                                <w:spacing w:val="-1"/>
                                <w:sz w:val="24"/>
                              </w:rPr>
                              <w:t> </w:t>
                            </w:r>
                            <w:r>
                              <w:rPr>
                                <w:b/>
                                <w:color w:val="000000"/>
                                <w:spacing w:val="-5"/>
                                <w:sz w:val="24"/>
                              </w:rPr>
                              <w:t>1.</w:t>
                            </w:r>
                          </w:p>
                        </w:txbxContent>
                      </wps:txbx>
                      <wps:bodyPr wrap="square" lIns="0" tIns="0" rIns="0" bIns="0" rtlCol="0">
                        <a:noAutofit/>
                      </wps:bodyPr>
                    </wps:wsp>
                  </a:graphicData>
                </a:graphic>
              </wp:anchor>
            </w:drawing>
          </mc:Choice>
          <mc:Fallback>
            <w:pict>
              <v:shape style="position:absolute;margin-left:70.584pt;margin-top:20.07pt;width:470.95pt;height:22.95pt;mso-position-horizontal-relative:page;mso-position-vertical-relative:paragraph;z-index:-15715840;mso-wrap-distance-left:0;mso-wrap-distance-right:0" type="#_x0000_t202" id="docshape27" filled="true" fillcolor="#e7e6e6" stroked="false">
                <v:textbox inset="0,0,0,0">
                  <w:txbxContent>
                    <w:p>
                      <w:pPr>
                        <w:spacing w:line="273" w:lineRule="exact" w:before="0"/>
                        <w:ind w:left="28" w:right="0" w:firstLine="0"/>
                        <w:jc w:val="left"/>
                        <w:rPr>
                          <w:b/>
                          <w:color w:val="000000"/>
                          <w:sz w:val="24"/>
                        </w:rPr>
                      </w:pPr>
                      <w:r>
                        <w:rPr>
                          <w:b/>
                          <w:color w:val="000000"/>
                          <w:sz w:val="24"/>
                        </w:rPr>
                        <w:t>Посебни</w:t>
                      </w:r>
                      <w:r>
                        <w:rPr>
                          <w:b/>
                          <w:color w:val="000000"/>
                          <w:spacing w:val="-4"/>
                          <w:sz w:val="24"/>
                        </w:rPr>
                        <w:t> </w:t>
                      </w:r>
                      <w:r>
                        <w:rPr>
                          <w:b/>
                          <w:color w:val="000000"/>
                          <w:sz w:val="24"/>
                        </w:rPr>
                        <w:t>циљ</w:t>
                      </w:r>
                      <w:r>
                        <w:rPr>
                          <w:b/>
                          <w:color w:val="000000"/>
                          <w:spacing w:val="-1"/>
                          <w:sz w:val="24"/>
                        </w:rPr>
                        <w:t> </w:t>
                      </w:r>
                      <w:r>
                        <w:rPr>
                          <w:b/>
                          <w:color w:val="000000"/>
                          <w:spacing w:val="-5"/>
                          <w:sz w:val="24"/>
                        </w:rPr>
                        <w:t>1.</w:t>
                      </w:r>
                    </w:p>
                  </w:txbxContent>
                </v:textbox>
                <v:fill type="solid"/>
                <w10:wrap type="topAndBottom"/>
              </v:shape>
            </w:pict>
          </mc:Fallback>
        </mc:AlternateContent>
      </w:r>
    </w:p>
    <w:p>
      <w:pPr>
        <w:pStyle w:val="BodyText"/>
        <w:spacing w:before="20"/>
        <w:ind w:left="0"/>
        <w:jc w:val="left"/>
        <w:rPr>
          <w:b/>
        </w:rPr>
      </w:pPr>
    </w:p>
    <w:p>
      <w:pPr>
        <w:pStyle w:val="Heading2"/>
        <w:spacing w:line="256" w:lineRule="auto"/>
      </w:pPr>
      <w:r>
        <w:rPr/>
        <w:t>Остварен раст инклузивне и квалитетне запослености кроз координацију</w:t>
      </w:r>
      <w:r>
        <w:rPr>
          <w:spacing w:val="32"/>
        </w:rPr>
        <w:t> </w:t>
      </w:r>
      <w:r>
        <w:rPr/>
        <w:t>политике запошљавања са другим секторским политикама</w:t>
      </w:r>
    </w:p>
    <w:p>
      <w:pPr>
        <w:pStyle w:val="BodyText"/>
        <w:spacing w:before="159"/>
        <w:ind w:right="715" w:firstLine="719"/>
      </w:pPr>
      <w:r>
        <w:rPr/>
        <w:t>Политика запошљавања дефинише реформске кораке које треба предузети да би се успешно развијало ефикасно тржиште рада у Србији у складу са осталим развојним циљевима земље. Потребно је да остварени раст запослености карактеришу инклузивност и квалитет, како би се смањиле социјалне неједнакости које су ограничавајући фактор економског раста али и свеукупног друштвеног напретка. Реформе се не могу спровести кроз изоловане и појединачне мере различитих институција, већ захтевају конзистентну и координирану акцију кроз међусекторску сарадњу која треба да обезбеди инклузиван и у социјалном погледу правично дистрибуиран раст. На тај начин се прихвата интегративни приступ заступљен у ЕУ који се спроводи кроз Европски семестар, што значи да се препоруке за запошљавање не ограничавају на политику запошљавања, већ се проширују на образовну, пореску, политику регионалног развоја, социјалну и друге релевантне </w:t>
      </w:r>
      <w:r>
        <w:rPr>
          <w:spacing w:val="-2"/>
        </w:rPr>
        <w:t>политике.</w:t>
      </w:r>
    </w:p>
    <w:p>
      <w:pPr>
        <w:pStyle w:val="BodyText"/>
        <w:spacing w:after="0"/>
        <w:sectPr>
          <w:pgSz w:w="12240" w:h="15840"/>
          <w:pgMar w:header="0" w:footer="702" w:top="1360" w:bottom="900" w:left="1080" w:right="72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616"/>
        <w:gridCol w:w="3616"/>
      </w:tblGrid>
      <w:tr>
        <w:trPr>
          <w:trHeight w:val="746" w:hRule="atLeast"/>
        </w:trPr>
        <w:tc>
          <w:tcPr>
            <w:tcW w:w="2122" w:type="dxa"/>
          </w:tcPr>
          <w:p>
            <w:pPr>
              <w:pStyle w:val="TableParagraph"/>
              <w:spacing w:before="181"/>
              <w:ind w:left="107"/>
              <w:rPr>
                <w:i/>
                <w:sz w:val="22"/>
              </w:rPr>
            </w:pPr>
            <w:r>
              <w:rPr>
                <w:i/>
                <w:sz w:val="22"/>
              </w:rPr>
              <w:t>Показатељ</w:t>
            </w:r>
            <w:r>
              <w:rPr>
                <w:i/>
                <w:spacing w:val="-10"/>
                <w:sz w:val="22"/>
              </w:rPr>
              <w:t> </w:t>
            </w:r>
            <w:r>
              <w:rPr>
                <w:i/>
                <w:spacing w:val="-2"/>
                <w:sz w:val="22"/>
              </w:rPr>
              <w:t>исхода</w:t>
            </w:r>
          </w:p>
        </w:tc>
        <w:tc>
          <w:tcPr>
            <w:tcW w:w="7232" w:type="dxa"/>
            <w:gridSpan w:val="2"/>
          </w:tcPr>
          <w:p>
            <w:pPr>
              <w:pStyle w:val="TableParagraph"/>
              <w:spacing w:line="247" w:lineRule="exact"/>
              <w:ind w:left="107"/>
              <w:rPr>
                <w:sz w:val="22"/>
              </w:rPr>
            </w:pPr>
            <w:r>
              <w:rPr>
                <w:sz w:val="22"/>
              </w:rPr>
              <w:t>Регистрована</w:t>
            </w:r>
            <w:r>
              <w:rPr>
                <w:spacing w:val="-7"/>
                <w:sz w:val="22"/>
              </w:rPr>
              <w:t> </w:t>
            </w:r>
            <w:r>
              <w:rPr>
                <w:sz w:val="22"/>
              </w:rPr>
              <w:t>запосленост</w:t>
            </w:r>
            <w:r>
              <w:rPr>
                <w:spacing w:val="-8"/>
                <w:sz w:val="22"/>
              </w:rPr>
              <w:t> </w:t>
            </w:r>
            <w:r>
              <w:rPr>
                <w:sz w:val="22"/>
              </w:rPr>
              <w:t>(број</w:t>
            </w:r>
            <w:r>
              <w:rPr>
                <w:spacing w:val="-5"/>
                <w:sz w:val="22"/>
              </w:rPr>
              <w:t> </w:t>
            </w:r>
            <w:r>
              <w:rPr>
                <w:spacing w:val="-2"/>
                <w:sz w:val="22"/>
              </w:rPr>
              <w:t>запослених)</w:t>
            </w:r>
          </w:p>
          <w:p>
            <w:pPr>
              <w:pStyle w:val="TableParagraph"/>
              <w:spacing w:before="121"/>
              <w:ind w:left="107"/>
              <w:rPr>
                <w:sz w:val="22"/>
              </w:rPr>
            </w:pPr>
            <w:r>
              <w:rPr>
                <w:sz w:val="22"/>
              </w:rPr>
              <w:t>Неформално</w:t>
            </w:r>
            <w:r>
              <w:rPr>
                <w:spacing w:val="-6"/>
                <w:sz w:val="22"/>
              </w:rPr>
              <w:t> </w:t>
            </w:r>
            <w:r>
              <w:rPr>
                <w:sz w:val="22"/>
              </w:rPr>
              <w:t>запослени</w:t>
            </w:r>
            <w:r>
              <w:rPr>
                <w:spacing w:val="-6"/>
                <w:sz w:val="22"/>
              </w:rPr>
              <w:t> </w:t>
            </w:r>
            <w:r>
              <w:rPr>
                <w:spacing w:val="-2"/>
                <w:sz w:val="22"/>
              </w:rPr>
              <w:t>(15+)</w:t>
            </w:r>
          </w:p>
        </w:tc>
      </w:tr>
      <w:tr>
        <w:trPr>
          <w:trHeight w:val="374" w:hRule="atLeast"/>
        </w:trPr>
        <w:tc>
          <w:tcPr>
            <w:tcW w:w="2122" w:type="dxa"/>
          </w:tcPr>
          <w:p>
            <w:pPr>
              <w:pStyle w:val="TableParagraph"/>
              <w:spacing w:line="247" w:lineRule="exact"/>
              <w:ind w:left="107"/>
              <w:rPr>
                <w:i/>
                <w:sz w:val="22"/>
              </w:rPr>
            </w:pPr>
            <w:r>
              <w:rPr>
                <w:i/>
                <w:sz w:val="22"/>
              </w:rPr>
              <w:t>Јединица</w:t>
            </w:r>
            <w:r>
              <w:rPr>
                <w:i/>
                <w:spacing w:val="-6"/>
                <w:sz w:val="22"/>
              </w:rPr>
              <w:t> </w:t>
            </w:r>
            <w:r>
              <w:rPr>
                <w:i/>
                <w:spacing w:val="-4"/>
                <w:sz w:val="22"/>
              </w:rPr>
              <w:t>мере</w:t>
            </w:r>
          </w:p>
        </w:tc>
        <w:tc>
          <w:tcPr>
            <w:tcW w:w="7232" w:type="dxa"/>
            <w:gridSpan w:val="2"/>
          </w:tcPr>
          <w:p>
            <w:pPr>
              <w:pStyle w:val="TableParagraph"/>
              <w:spacing w:line="247" w:lineRule="exact"/>
              <w:ind w:left="107"/>
              <w:rPr>
                <w:sz w:val="22"/>
              </w:rPr>
            </w:pPr>
            <w:r>
              <w:rPr>
                <w:spacing w:val="-4"/>
                <w:sz w:val="22"/>
              </w:rPr>
              <w:t>Број</w:t>
            </w:r>
          </w:p>
        </w:tc>
      </w:tr>
      <w:tr>
        <w:trPr>
          <w:trHeight w:val="1384" w:hRule="atLeast"/>
        </w:trPr>
        <w:tc>
          <w:tcPr>
            <w:tcW w:w="2122" w:type="dxa"/>
          </w:tcPr>
          <w:p>
            <w:pPr>
              <w:pStyle w:val="TableParagraph"/>
              <w:spacing w:before="119"/>
              <w:rPr>
                <w:sz w:val="22"/>
              </w:rPr>
            </w:pPr>
          </w:p>
          <w:p>
            <w:pPr>
              <w:pStyle w:val="TableParagraph"/>
              <w:spacing w:before="1"/>
              <w:ind w:left="107"/>
              <w:rPr>
                <w:i/>
                <w:sz w:val="22"/>
              </w:rPr>
            </w:pPr>
            <w:r>
              <w:rPr>
                <w:i/>
                <w:sz w:val="22"/>
              </w:rPr>
              <w:t>Почетна</w:t>
            </w:r>
            <w:r>
              <w:rPr>
                <w:i/>
                <w:spacing w:val="-14"/>
                <w:sz w:val="22"/>
              </w:rPr>
              <w:t> </w:t>
            </w:r>
            <w:r>
              <w:rPr>
                <w:i/>
                <w:sz w:val="22"/>
              </w:rPr>
              <w:t>и</w:t>
            </w:r>
            <w:r>
              <w:rPr>
                <w:i/>
                <w:spacing w:val="-14"/>
                <w:sz w:val="22"/>
              </w:rPr>
              <w:t> </w:t>
            </w:r>
            <w:r>
              <w:rPr>
                <w:i/>
                <w:sz w:val="22"/>
              </w:rPr>
              <w:t>циљана </w:t>
            </w:r>
            <w:r>
              <w:rPr>
                <w:i/>
                <w:spacing w:val="-2"/>
                <w:sz w:val="22"/>
              </w:rPr>
              <w:t>вредност</w:t>
            </w:r>
          </w:p>
        </w:tc>
        <w:tc>
          <w:tcPr>
            <w:tcW w:w="3616" w:type="dxa"/>
          </w:tcPr>
          <w:p>
            <w:pPr>
              <w:pStyle w:val="TableParagraph"/>
              <w:spacing w:line="248" w:lineRule="exact"/>
              <w:ind w:left="107"/>
              <w:rPr>
                <w:b/>
                <w:sz w:val="22"/>
              </w:rPr>
            </w:pPr>
            <w:r>
              <w:rPr>
                <w:b/>
                <w:spacing w:val="-2"/>
                <w:sz w:val="22"/>
              </w:rPr>
              <w:t>2019:</w:t>
            </w:r>
          </w:p>
          <w:p>
            <w:pPr>
              <w:pStyle w:val="TableParagraph"/>
              <w:spacing w:line="242" w:lineRule="auto"/>
              <w:ind w:left="107" w:right="979"/>
              <w:rPr>
                <w:sz w:val="22"/>
              </w:rPr>
            </w:pPr>
            <w:r>
              <w:rPr>
                <w:sz w:val="22"/>
              </w:rPr>
              <w:t>Регистрована</w:t>
            </w:r>
            <w:r>
              <w:rPr>
                <w:spacing w:val="-14"/>
                <w:sz w:val="22"/>
              </w:rPr>
              <w:t> </w:t>
            </w:r>
            <w:r>
              <w:rPr>
                <w:sz w:val="22"/>
              </w:rPr>
              <w:t>запосленост: </w:t>
            </w:r>
            <w:r>
              <w:rPr>
                <w:spacing w:val="-2"/>
                <w:sz w:val="22"/>
              </w:rPr>
              <w:t>2.173.135</w:t>
            </w:r>
          </w:p>
          <w:p>
            <w:pPr>
              <w:pStyle w:val="TableParagraph"/>
              <w:spacing w:line="252" w:lineRule="exact" w:before="101"/>
              <w:ind w:left="107" w:right="1230"/>
              <w:rPr>
                <w:sz w:val="22"/>
              </w:rPr>
            </w:pPr>
            <w:r>
              <w:rPr>
                <w:sz w:val="22"/>
              </w:rPr>
              <w:t>Неформално</w:t>
            </w:r>
            <w:r>
              <w:rPr>
                <w:spacing w:val="-14"/>
                <w:sz w:val="22"/>
              </w:rPr>
              <w:t> </w:t>
            </w:r>
            <w:r>
              <w:rPr>
                <w:sz w:val="22"/>
              </w:rPr>
              <w:t>запослени: </w:t>
            </w:r>
            <w:r>
              <w:rPr>
                <w:spacing w:val="-2"/>
                <w:sz w:val="22"/>
              </w:rPr>
              <w:t>529.200</w:t>
            </w:r>
          </w:p>
        </w:tc>
        <w:tc>
          <w:tcPr>
            <w:tcW w:w="3616" w:type="dxa"/>
          </w:tcPr>
          <w:p>
            <w:pPr>
              <w:pStyle w:val="TableParagraph"/>
              <w:spacing w:line="246" w:lineRule="exact"/>
              <w:ind w:left="106"/>
              <w:rPr>
                <w:sz w:val="22"/>
              </w:rPr>
            </w:pPr>
            <w:r>
              <w:rPr>
                <w:b/>
                <w:spacing w:val="-2"/>
                <w:sz w:val="22"/>
              </w:rPr>
              <w:t>2026</w:t>
            </w:r>
            <w:r>
              <w:rPr>
                <w:spacing w:val="-2"/>
                <w:sz w:val="22"/>
              </w:rPr>
              <w:t>:</w:t>
            </w:r>
          </w:p>
          <w:p>
            <w:pPr>
              <w:pStyle w:val="TableParagraph"/>
              <w:spacing w:line="252" w:lineRule="exact"/>
              <w:ind w:left="106"/>
              <w:rPr>
                <w:sz w:val="22"/>
              </w:rPr>
            </w:pPr>
            <w:r>
              <w:rPr>
                <w:sz w:val="22"/>
              </w:rPr>
              <w:t>Регистрована</w:t>
            </w:r>
            <w:r>
              <w:rPr>
                <w:spacing w:val="-13"/>
                <w:sz w:val="22"/>
              </w:rPr>
              <w:t> </w:t>
            </w:r>
            <w:r>
              <w:rPr>
                <w:spacing w:val="-2"/>
                <w:sz w:val="22"/>
              </w:rPr>
              <w:t>запосленост:</w:t>
            </w:r>
          </w:p>
          <w:p>
            <w:pPr>
              <w:pStyle w:val="TableParagraph"/>
              <w:spacing w:before="1"/>
              <w:ind w:left="106"/>
              <w:rPr>
                <w:sz w:val="22"/>
              </w:rPr>
            </w:pPr>
            <w:r>
              <w:rPr>
                <w:sz w:val="22"/>
              </w:rPr>
              <w:t>2.540.000</w:t>
            </w:r>
            <w:r>
              <w:rPr>
                <w:spacing w:val="-3"/>
                <w:sz w:val="22"/>
              </w:rPr>
              <w:t> </w:t>
            </w:r>
            <w:r>
              <w:rPr>
                <w:sz w:val="22"/>
              </w:rPr>
              <w:t>– </w:t>
            </w:r>
            <w:r>
              <w:rPr>
                <w:spacing w:val="-2"/>
                <w:sz w:val="22"/>
              </w:rPr>
              <w:t>2.631.000</w:t>
            </w:r>
          </w:p>
          <w:p>
            <w:pPr>
              <w:pStyle w:val="TableParagraph"/>
              <w:spacing w:line="252" w:lineRule="exact" w:before="108"/>
              <w:ind w:left="106" w:right="1231"/>
              <w:rPr>
                <w:sz w:val="22"/>
              </w:rPr>
            </w:pPr>
            <w:r>
              <w:rPr>
                <w:sz w:val="22"/>
              </w:rPr>
              <w:t>Неформално</w:t>
            </w:r>
            <w:r>
              <w:rPr>
                <w:spacing w:val="-14"/>
                <w:sz w:val="22"/>
              </w:rPr>
              <w:t> </w:t>
            </w:r>
            <w:r>
              <w:rPr>
                <w:sz w:val="22"/>
              </w:rPr>
              <w:t>запослени: </w:t>
            </w:r>
            <w:r>
              <w:rPr>
                <w:spacing w:val="-2"/>
                <w:sz w:val="22"/>
              </w:rPr>
              <w:t>396.033</w:t>
            </w:r>
          </w:p>
        </w:tc>
      </w:tr>
      <w:tr>
        <w:trPr>
          <w:trHeight w:val="758" w:hRule="atLeast"/>
        </w:trPr>
        <w:tc>
          <w:tcPr>
            <w:tcW w:w="2122" w:type="dxa"/>
          </w:tcPr>
          <w:p>
            <w:pPr>
              <w:pStyle w:val="TableParagraph"/>
              <w:spacing w:before="185"/>
              <w:ind w:left="107"/>
              <w:rPr>
                <w:i/>
                <w:sz w:val="22"/>
              </w:rPr>
            </w:pPr>
            <w:r>
              <w:rPr>
                <w:i/>
                <w:sz w:val="22"/>
              </w:rPr>
              <w:t>Извор</w:t>
            </w:r>
            <w:r>
              <w:rPr>
                <w:i/>
                <w:spacing w:val="-4"/>
                <w:sz w:val="22"/>
              </w:rPr>
              <w:t> </w:t>
            </w:r>
            <w:r>
              <w:rPr>
                <w:i/>
                <w:spacing w:val="-2"/>
                <w:sz w:val="22"/>
              </w:rPr>
              <w:t>провере</w:t>
            </w:r>
          </w:p>
        </w:tc>
        <w:tc>
          <w:tcPr>
            <w:tcW w:w="7232" w:type="dxa"/>
            <w:gridSpan w:val="2"/>
          </w:tcPr>
          <w:p>
            <w:pPr>
              <w:pStyle w:val="TableParagraph"/>
              <w:spacing w:line="246" w:lineRule="exact"/>
              <w:ind w:left="107"/>
              <w:rPr>
                <w:sz w:val="22"/>
              </w:rPr>
            </w:pPr>
            <w:r>
              <w:rPr>
                <w:sz w:val="22"/>
              </w:rPr>
              <w:t>Републички</w:t>
            </w:r>
            <w:r>
              <w:rPr>
                <w:spacing w:val="-4"/>
                <w:sz w:val="22"/>
              </w:rPr>
              <w:t> </w:t>
            </w:r>
            <w:r>
              <w:rPr>
                <w:sz w:val="22"/>
              </w:rPr>
              <w:t>завод</w:t>
            </w:r>
            <w:r>
              <w:rPr>
                <w:spacing w:val="-4"/>
                <w:sz w:val="22"/>
              </w:rPr>
              <w:t> </w:t>
            </w:r>
            <w:r>
              <w:rPr>
                <w:sz w:val="22"/>
              </w:rPr>
              <w:t>за</w:t>
            </w:r>
            <w:r>
              <w:rPr>
                <w:spacing w:val="-4"/>
                <w:sz w:val="22"/>
              </w:rPr>
              <w:t> </w:t>
            </w:r>
            <w:r>
              <w:rPr>
                <w:spacing w:val="-2"/>
                <w:sz w:val="22"/>
              </w:rPr>
              <w:t>статистику:</w:t>
            </w:r>
          </w:p>
          <w:p>
            <w:pPr>
              <w:pStyle w:val="TableParagraph"/>
              <w:spacing w:line="256" w:lineRule="exact"/>
              <w:ind w:left="107" w:right="647"/>
              <w:rPr>
                <w:sz w:val="22"/>
              </w:rPr>
            </w:pPr>
            <w:r>
              <w:rPr>
                <w:sz w:val="22"/>
              </w:rPr>
              <w:t>Регистрована</w:t>
            </w:r>
            <w:r>
              <w:rPr>
                <w:spacing w:val="-5"/>
                <w:sz w:val="22"/>
              </w:rPr>
              <w:t> </w:t>
            </w:r>
            <w:r>
              <w:rPr>
                <w:sz w:val="22"/>
              </w:rPr>
              <w:t>запосленост</w:t>
            </w:r>
            <w:r>
              <w:rPr>
                <w:spacing w:val="-7"/>
                <w:sz w:val="22"/>
              </w:rPr>
              <w:t> </w:t>
            </w:r>
            <w:r>
              <w:rPr>
                <w:sz w:val="22"/>
              </w:rPr>
              <w:t>-</w:t>
            </w:r>
            <w:r>
              <w:rPr>
                <w:spacing w:val="-7"/>
                <w:sz w:val="22"/>
              </w:rPr>
              <w:t> </w:t>
            </w:r>
            <w:r>
              <w:rPr>
                <w:sz w:val="22"/>
              </w:rPr>
              <w:t>Статистика</w:t>
            </w:r>
            <w:r>
              <w:rPr>
                <w:spacing w:val="-5"/>
                <w:sz w:val="22"/>
              </w:rPr>
              <w:t> </w:t>
            </w:r>
            <w:r>
              <w:rPr>
                <w:sz w:val="22"/>
              </w:rPr>
              <w:t>запослености</w:t>
            </w:r>
            <w:r>
              <w:rPr>
                <w:spacing w:val="-5"/>
                <w:sz w:val="22"/>
              </w:rPr>
              <w:t> </w:t>
            </w:r>
            <w:r>
              <w:rPr>
                <w:sz w:val="22"/>
              </w:rPr>
              <w:t>и</w:t>
            </w:r>
            <w:r>
              <w:rPr>
                <w:spacing w:val="-6"/>
                <w:sz w:val="22"/>
              </w:rPr>
              <w:t> </w:t>
            </w:r>
            <w:r>
              <w:rPr>
                <w:sz w:val="22"/>
              </w:rPr>
              <w:t>зарада Анкета о радној снази</w:t>
            </w:r>
          </w:p>
        </w:tc>
      </w:tr>
    </w:tbl>
    <w:p>
      <w:pPr>
        <w:pStyle w:val="BodyText"/>
        <w:spacing w:before="137"/>
        <w:ind w:left="0"/>
        <w:jc w:val="left"/>
      </w:pPr>
    </w:p>
    <w:p>
      <w:pPr>
        <w:pStyle w:val="Heading2"/>
        <w:tabs>
          <w:tab w:pos="9750" w:val="left" w:leader="none"/>
        </w:tabs>
        <w:spacing w:line="398" w:lineRule="auto"/>
        <w:ind w:right="687" w:hanging="29"/>
        <w:jc w:val="both"/>
      </w:pPr>
      <w:r>
        <w:rPr>
          <w:b w:val="0"/>
          <w:color w:val="000000"/>
          <w:spacing w:val="-12"/>
          <w:shd w:fill="E7E6E6" w:color="auto" w:val="clear"/>
        </w:rPr>
        <w:t> </w:t>
      </w:r>
      <w:r>
        <w:rPr>
          <w:color w:val="000000"/>
          <w:shd w:fill="E7E6E6" w:color="auto" w:val="clear"/>
        </w:rPr>
        <w:t>Посебни циљ 2.</w:t>
        <w:tab/>
      </w:r>
      <w:r>
        <w:rPr>
          <w:color w:val="000000"/>
        </w:rPr>
        <w:t> Унапређен</w:t>
      </w:r>
      <w:r>
        <w:rPr>
          <w:color w:val="000000"/>
          <w:spacing w:val="-9"/>
        </w:rPr>
        <w:t> </w:t>
      </w:r>
      <w:r>
        <w:rPr>
          <w:color w:val="000000"/>
        </w:rPr>
        <w:t>положај</w:t>
      </w:r>
      <w:r>
        <w:rPr>
          <w:color w:val="000000"/>
          <w:spacing w:val="-11"/>
        </w:rPr>
        <w:t> </w:t>
      </w:r>
      <w:r>
        <w:rPr>
          <w:color w:val="000000"/>
        </w:rPr>
        <w:t>теже</w:t>
      </w:r>
      <w:r>
        <w:rPr>
          <w:color w:val="000000"/>
          <w:spacing w:val="-11"/>
        </w:rPr>
        <w:t> </w:t>
      </w:r>
      <w:r>
        <w:rPr>
          <w:color w:val="000000"/>
        </w:rPr>
        <w:t>запошљивих</w:t>
      </w:r>
      <w:r>
        <w:rPr>
          <w:color w:val="000000"/>
          <w:spacing w:val="-10"/>
        </w:rPr>
        <w:t> </w:t>
      </w:r>
      <w:r>
        <w:rPr>
          <w:color w:val="000000"/>
        </w:rPr>
        <w:t>категорија</w:t>
      </w:r>
      <w:r>
        <w:rPr>
          <w:color w:val="000000"/>
          <w:spacing w:val="-11"/>
        </w:rPr>
        <w:t> </w:t>
      </w:r>
      <w:r>
        <w:rPr>
          <w:color w:val="000000"/>
        </w:rPr>
        <w:t>незапослених</w:t>
      </w:r>
      <w:r>
        <w:rPr>
          <w:color w:val="000000"/>
          <w:spacing w:val="-10"/>
        </w:rPr>
        <w:t> </w:t>
      </w:r>
      <w:r>
        <w:rPr>
          <w:color w:val="000000"/>
        </w:rPr>
        <w:t>лица</w:t>
      </w:r>
      <w:r>
        <w:rPr>
          <w:color w:val="000000"/>
          <w:spacing w:val="-10"/>
        </w:rPr>
        <w:t> </w:t>
      </w:r>
      <w:r>
        <w:rPr>
          <w:color w:val="000000"/>
        </w:rPr>
        <w:t>на</w:t>
      </w:r>
      <w:r>
        <w:rPr>
          <w:color w:val="000000"/>
          <w:spacing w:val="-10"/>
        </w:rPr>
        <w:t> </w:t>
      </w:r>
      <w:r>
        <w:rPr>
          <w:color w:val="000000"/>
        </w:rPr>
        <w:t>тржишту</w:t>
      </w:r>
      <w:r>
        <w:rPr>
          <w:color w:val="000000"/>
          <w:spacing w:val="-10"/>
        </w:rPr>
        <w:t> </w:t>
      </w:r>
      <w:r>
        <w:rPr>
          <w:color w:val="000000"/>
        </w:rPr>
        <w:t>рада</w:t>
      </w:r>
    </w:p>
    <w:p>
      <w:pPr>
        <w:pStyle w:val="BodyText"/>
        <w:ind w:right="715" w:firstLine="719"/>
      </w:pPr>
      <w:r>
        <w:rPr/>
        <w:t>Диференцијација незапослених лица према нивоу запошљивости, односно, према нивоу</w:t>
      </w:r>
      <w:r>
        <w:rPr>
          <w:spacing w:val="-9"/>
        </w:rPr>
        <w:t> </w:t>
      </w:r>
      <w:r>
        <w:rPr/>
        <w:t>потребне</w:t>
      </w:r>
      <w:r>
        <w:rPr>
          <w:spacing w:val="-5"/>
        </w:rPr>
        <w:t> </w:t>
      </w:r>
      <w:r>
        <w:rPr/>
        <w:t>подршке,</w:t>
      </w:r>
      <w:r>
        <w:rPr>
          <w:spacing w:val="-4"/>
        </w:rPr>
        <w:t> </w:t>
      </w:r>
      <w:r>
        <w:rPr/>
        <w:t>од</w:t>
      </w:r>
      <w:r>
        <w:rPr>
          <w:spacing w:val="-4"/>
        </w:rPr>
        <w:t> </w:t>
      </w:r>
      <w:r>
        <w:rPr/>
        <w:t>највеће</w:t>
      </w:r>
      <w:r>
        <w:rPr>
          <w:spacing w:val="-5"/>
        </w:rPr>
        <w:t> </w:t>
      </w:r>
      <w:r>
        <w:rPr/>
        <w:t>је важности</w:t>
      </w:r>
      <w:r>
        <w:rPr>
          <w:spacing w:val="-1"/>
        </w:rPr>
        <w:t> </w:t>
      </w:r>
      <w:r>
        <w:rPr/>
        <w:t>у</w:t>
      </w:r>
      <w:r>
        <w:rPr>
          <w:spacing w:val="-9"/>
        </w:rPr>
        <w:t> </w:t>
      </w:r>
      <w:r>
        <w:rPr/>
        <w:t>процесу</w:t>
      </w:r>
      <w:r>
        <w:rPr>
          <w:spacing w:val="-9"/>
        </w:rPr>
        <w:t> </w:t>
      </w:r>
      <w:r>
        <w:rPr/>
        <w:t>подстицања</w:t>
      </w:r>
      <w:r>
        <w:rPr>
          <w:spacing w:val="-5"/>
        </w:rPr>
        <w:t> </w:t>
      </w:r>
      <w:r>
        <w:rPr/>
        <w:t>запошљавања</w:t>
      </w:r>
      <w:r>
        <w:rPr>
          <w:spacing w:val="-5"/>
        </w:rPr>
        <w:t> </w:t>
      </w:r>
      <w:r>
        <w:rPr/>
        <w:t>теже запошљивих лица, јер омогућава да се подршка усмерава ка оним лицима којима је најпотребнија.</w:t>
      </w:r>
      <w:r>
        <w:rPr>
          <w:spacing w:val="-5"/>
        </w:rPr>
        <w:t> </w:t>
      </w:r>
      <w:r>
        <w:rPr/>
        <w:t>Како</w:t>
      </w:r>
      <w:r>
        <w:rPr>
          <w:spacing w:val="-5"/>
        </w:rPr>
        <w:t> </w:t>
      </w:r>
      <w:r>
        <w:rPr/>
        <w:t>би</w:t>
      </w:r>
      <w:r>
        <w:rPr>
          <w:spacing w:val="-4"/>
        </w:rPr>
        <w:t> </w:t>
      </w:r>
      <w:r>
        <w:rPr/>
        <w:t>се</w:t>
      </w:r>
      <w:r>
        <w:rPr>
          <w:spacing w:val="-6"/>
        </w:rPr>
        <w:t> </w:t>
      </w:r>
      <w:r>
        <w:rPr/>
        <w:t>обезбедило</w:t>
      </w:r>
      <w:r>
        <w:rPr>
          <w:spacing w:val="-5"/>
        </w:rPr>
        <w:t> </w:t>
      </w:r>
      <w:r>
        <w:rPr/>
        <w:t>правовремено</w:t>
      </w:r>
      <w:r>
        <w:rPr>
          <w:spacing w:val="-5"/>
        </w:rPr>
        <w:t> </w:t>
      </w:r>
      <w:r>
        <w:rPr/>
        <w:t>препознавање</w:t>
      </w:r>
      <w:r>
        <w:rPr>
          <w:spacing w:val="-6"/>
        </w:rPr>
        <w:t> </w:t>
      </w:r>
      <w:r>
        <w:rPr/>
        <w:t>лица</w:t>
      </w:r>
      <w:r>
        <w:rPr>
          <w:spacing w:val="-6"/>
        </w:rPr>
        <w:t> </w:t>
      </w:r>
      <w:r>
        <w:rPr/>
        <w:t>којима</w:t>
      </w:r>
      <w:r>
        <w:rPr>
          <w:spacing w:val="-6"/>
        </w:rPr>
        <w:t> </w:t>
      </w:r>
      <w:r>
        <w:rPr/>
        <w:t>је</w:t>
      </w:r>
      <w:r>
        <w:rPr>
          <w:spacing w:val="-5"/>
        </w:rPr>
        <w:t> </w:t>
      </w:r>
      <w:r>
        <w:rPr/>
        <w:t>потребна подршка, неопходно је континуирано унапређивати инструменате и технике саветодавног рада. Подаци о тржишту рада показују да се међу већим категоријама становништва чији припадници се чешће суочавају са отежаном запошљивошћу налазе жене, млади до 30 година старости, особе са инвалидитетом, Роми, лица без квалификација или нискоквалификовани, као и друге мање бројне, али зато, када је запошљавање у питању, вишеструко рањиве категорије као што су радно способни корисници новчане социјалне помоћи, жртве трговине људима, жртве породичног насиља, млади у домском смештају, хранитељским</w:t>
      </w:r>
      <w:r>
        <w:rPr>
          <w:spacing w:val="-4"/>
        </w:rPr>
        <w:t> </w:t>
      </w:r>
      <w:r>
        <w:rPr/>
        <w:t>и старатељским</w:t>
      </w:r>
      <w:r>
        <w:rPr>
          <w:spacing w:val="-2"/>
        </w:rPr>
        <w:t> </w:t>
      </w:r>
      <w:r>
        <w:rPr/>
        <w:t>породицама</w:t>
      </w:r>
      <w:r>
        <w:rPr>
          <w:spacing w:val="-2"/>
        </w:rPr>
        <w:t> </w:t>
      </w:r>
      <w:r>
        <w:rPr/>
        <w:t>и други који се</w:t>
      </w:r>
      <w:r>
        <w:rPr>
          <w:spacing w:val="-2"/>
        </w:rPr>
        <w:t> </w:t>
      </w:r>
      <w:r>
        <w:rPr/>
        <w:t>налазе у</w:t>
      </w:r>
      <w:r>
        <w:rPr>
          <w:spacing w:val="-6"/>
        </w:rPr>
        <w:t> </w:t>
      </w:r>
      <w:r>
        <w:rPr/>
        <w:t>објективној</w:t>
      </w:r>
      <w:r>
        <w:rPr>
          <w:spacing w:val="-3"/>
        </w:rPr>
        <w:t> </w:t>
      </w:r>
      <w:r>
        <w:rPr/>
        <w:t>опасности од пада у дугорочну незапосленост. Стога се запошљавање припадника наведених категорија, као и лица која се налазе у дугорочној незапослености, подржава кроз приоритетно, односно циљано укључивање у поједине мере АПЗ које су прилагођене потребама изабраних категорија.</w:t>
      </w:r>
    </w:p>
    <w:p>
      <w:pPr>
        <w:pStyle w:val="BodyText"/>
        <w:spacing w:before="51" w:after="1"/>
        <w:ind w:left="0"/>
        <w:jc w:val="left"/>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616"/>
        <w:gridCol w:w="3616"/>
      </w:tblGrid>
      <w:tr>
        <w:trPr>
          <w:trHeight w:val="998" w:hRule="atLeast"/>
        </w:trPr>
        <w:tc>
          <w:tcPr>
            <w:tcW w:w="2122" w:type="dxa"/>
          </w:tcPr>
          <w:p>
            <w:pPr>
              <w:pStyle w:val="TableParagraph"/>
              <w:spacing w:before="52"/>
              <w:rPr>
                <w:sz w:val="22"/>
              </w:rPr>
            </w:pPr>
          </w:p>
          <w:p>
            <w:pPr>
              <w:pStyle w:val="TableParagraph"/>
              <w:ind w:left="107"/>
              <w:rPr>
                <w:i/>
                <w:sz w:val="22"/>
              </w:rPr>
            </w:pPr>
            <w:r>
              <w:rPr>
                <w:i/>
                <w:sz w:val="22"/>
              </w:rPr>
              <w:t>Показатељ</w:t>
            </w:r>
            <w:r>
              <w:rPr>
                <w:i/>
                <w:spacing w:val="-10"/>
                <w:sz w:val="22"/>
              </w:rPr>
              <w:t> </w:t>
            </w:r>
            <w:r>
              <w:rPr>
                <w:i/>
                <w:spacing w:val="-2"/>
                <w:sz w:val="22"/>
              </w:rPr>
              <w:t>исхода</w:t>
            </w:r>
          </w:p>
        </w:tc>
        <w:tc>
          <w:tcPr>
            <w:tcW w:w="7232" w:type="dxa"/>
            <w:gridSpan w:val="2"/>
          </w:tcPr>
          <w:p>
            <w:pPr>
              <w:pStyle w:val="TableParagraph"/>
              <w:ind w:left="107"/>
              <w:rPr>
                <w:sz w:val="22"/>
              </w:rPr>
            </w:pPr>
            <w:r>
              <w:rPr>
                <w:sz w:val="22"/>
              </w:rPr>
              <w:t>Удео</w:t>
            </w:r>
            <w:r>
              <w:rPr>
                <w:spacing w:val="80"/>
                <w:w w:val="150"/>
                <w:sz w:val="22"/>
              </w:rPr>
              <w:t> </w:t>
            </w:r>
            <w:r>
              <w:rPr>
                <w:sz w:val="22"/>
              </w:rPr>
              <w:t>дугорочно</w:t>
            </w:r>
            <w:r>
              <w:rPr>
                <w:spacing w:val="80"/>
                <w:w w:val="150"/>
                <w:sz w:val="22"/>
              </w:rPr>
              <w:t> </w:t>
            </w:r>
            <w:r>
              <w:rPr>
                <w:sz w:val="22"/>
              </w:rPr>
              <w:t>незапослених</w:t>
            </w:r>
            <w:r>
              <w:rPr>
                <w:spacing w:val="80"/>
                <w:w w:val="150"/>
                <w:sz w:val="22"/>
              </w:rPr>
              <w:t> </w:t>
            </w:r>
            <w:r>
              <w:rPr>
                <w:sz w:val="22"/>
              </w:rPr>
              <w:t>у</w:t>
            </w:r>
            <w:r>
              <w:rPr>
                <w:spacing w:val="80"/>
                <w:w w:val="150"/>
                <w:sz w:val="22"/>
              </w:rPr>
              <w:t> </w:t>
            </w:r>
            <w:r>
              <w:rPr>
                <w:sz w:val="22"/>
              </w:rPr>
              <w:t>укупном</w:t>
            </w:r>
            <w:r>
              <w:rPr>
                <w:spacing w:val="80"/>
                <w:w w:val="150"/>
                <w:sz w:val="22"/>
              </w:rPr>
              <w:t> </w:t>
            </w:r>
            <w:r>
              <w:rPr>
                <w:sz w:val="22"/>
              </w:rPr>
              <w:t>броју</w:t>
            </w:r>
            <w:r>
              <w:rPr>
                <w:spacing w:val="80"/>
                <w:w w:val="150"/>
                <w:sz w:val="22"/>
              </w:rPr>
              <w:t> </w:t>
            </w:r>
            <w:r>
              <w:rPr>
                <w:sz w:val="22"/>
              </w:rPr>
              <w:t>незапослених</w:t>
            </w:r>
            <w:r>
              <w:rPr>
                <w:spacing w:val="80"/>
                <w:w w:val="150"/>
                <w:sz w:val="22"/>
              </w:rPr>
              <w:t> </w:t>
            </w:r>
            <w:r>
              <w:rPr>
                <w:sz w:val="22"/>
              </w:rPr>
              <w:t>на евиденцији НСЗ (лица која посао траже дуже од 12 месеци)</w:t>
            </w:r>
          </w:p>
          <w:p>
            <w:pPr>
              <w:pStyle w:val="TableParagraph"/>
              <w:spacing w:before="114"/>
              <w:ind w:left="107"/>
              <w:rPr>
                <w:sz w:val="22"/>
              </w:rPr>
            </w:pPr>
            <w:r>
              <w:rPr>
                <w:sz w:val="22"/>
              </w:rPr>
              <w:t>Стопа</w:t>
            </w:r>
            <w:r>
              <w:rPr>
                <w:spacing w:val="-7"/>
                <w:sz w:val="22"/>
              </w:rPr>
              <w:t> </w:t>
            </w:r>
            <w:r>
              <w:rPr>
                <w:sz w:val="22"/>
              </w:rPr>
              <w:t>дугорочне</w:t>
            </w:r>
            <w:r>
              <w:rPr>
                <w:spacing w:val="-7"/>
                <w:sz w:val="22"/>
              </w:rPr>
              <w:t> </w:t>
            </w:r>
            <w:r>
              <w:rPr>
                <w:sz w:val="22"/>
              </w:rPr>
              <w:t>незапослености</w:t>
            </w:r>
            <w:r>
              <w:rPr>
                <w:spacing w:val="-7"/>
                <w:sz w:val="22"/>
              </w:rPr>
              <w:t> </w:t>
            </w:r>
            <w:r>
              <w:rPr>
                <w:spacing w:val="-4"/>
                <w:sz w:val="22"/>
              </w:rPr>
              <w:t>(15+)</w:t>
            </w:r>
          </w:p>
        </w:tc>
      </w:tr>
      <w:tr>
        <w:trPr>
          <w:trHeight w:val="374" w:hRule="atLeast"/>
        </w:trPr>
        <w:tc>
          <w:tcPr>
            <w:tcW w:w="2122" w:type="dxa"/>
          </w:tcPr>
          <w:p>
            <w:pPr>
              <w:pStyle w:val="TableParagraph"/>
              <w:spacing w:line="247" w:lineRule="exact"/>
              <w:ind w:left="107"/>
              <w:rPr>
                <w:i/>
                <w:sz w:val="22"/>
              </w:rPr>
            </w:pPr>
            <w:r>
              <w:rPr>
                <w:i/>
                <w:sz w:val="22"/>
              </w:rPr>
              <w:t>Јединица</w:t>
            </w:r>
            <w:r>
              <w:rPr>
                <w:i/>
                <w:spacing w:val="-6"/>
                <w:sz w:val="22"/>
              </w:rPr>
              <w:t> </w:t>
            </w:r>
            <w:r>
              <w:rPr>
                <w:i/>
                <w:spacing w:val="-4"/>
                <w:sz w:val="22"/>
              </w:rPr>
              <w:t>мере</w:t>
            </w:r>
          </w:p>
        </w:tc>
        <w:tc>
          <w:tcPr>
            <w:tcW w:w="7232" w:type="dxa"/>
            <w:gridSpan w:val="2"/>
          </w:tcPr>
          <w:p>
            <w:pPr>
              <w:pStyle w:val="TableParagraph"/>
              <w:spacing w:line="247" w:lineRule="exact"/>
              <w:ind w:left="107"/>
              <w:rPr>
                <w:sz w:val="22"/>
              </w:rPr>
            </w:pPr>
            <w:r>
              <w:rPr>
                <w:spacing w:val="-2"/>
                <w:sz w:val="22"/>
              </w:rPr>
              <w:t>Проценат</w:t>
            </w:r>
          </w:p>
        </w:tc>
      </w:tr>
      <w:tr>
        <w:trPr>
          <w:trHeight w:val="1891" w:hRule="atLeast"/>
        </w:trPr>
        <w:tc>
          <w:tcPr>
            <w:tcW w:w="2122" w:type="dxa"/>
          </w:tcPr>
          <w:p>
            <w:pPr>
              <w:pStyle w:val="TableParagraph"/>
              <w:rPr>
                <w:sz w:val="22"/>
              </w:rPr>
            </w:pPr>
          </w:p>
          <w:p>
            <w:pPr>
              <w:pStyle w:val="TableParagraph"/>
              <w:spacing w:before="118"/>
              <w:rPr>
                <w:sz w:val="22"/>
              </w:rPr>
            </w:pPr>
          </w:p>
          <w:p>
            <w:pPr>
              <w:pStyle w:val="TableParagraph"/>
              <w:spacing w:before="1"/>
              <w:ind w:left="107"/>
              <w:rPr>
                <w:i/>
                <w:sz w:val="22"/>
              </w:rPr>
            </w:pPr>
            <w:r>
              <w:rPr>
                <w:i/>
                <w:sz w:val="22"/>
              </w:rPr>
              <w:t>Почетна</w:t>
            </w:r>
            <w:r>
              <w:rPr>
                <w:i/>
                <w:spacing w:val="-14"/>
                <w:sz w:val="22"/>
              </w:rPr>
              <w:t> </w:t>
            </w:r>
            <w:r>
              <w:rPr>
                <w:i/>
                <w:sz w:val="22"/>
              </w:rPr>
              <w:t>и</w:t>
            </w:r>
            <w:r>
              <w:rPr>
                <w:i/>
                <w:spacing w:val="-14"/>
                <w:sz w:val="22"/>
              </w:rPr>
              <w:t> </w:t>
            </w:r>
            <w:r>
              <w:rPr>
                <w:i/>
                <w:sz w:val="22"/>
              </w:rPr>
              <w:t>циљана </w:t>
            </w:r>
            <w:r>
              <w:rPr>
                <w:i/>
                <w:spacing w:val="-2"/>
                <w:sz w:val="22"/>
              </w:rPr>
              <w:t>вредност</w:t>
            </w:r>
          </w:p>
        </w:tc>
        <w:tc>
          <w:tcPr>
            <w:tcW w:w="3616" w:type="dxa"/>
          </w:tcPr>
          <w:p>
            <w:pPr>
              <w:pStyle w:val="TableParagraph"/>
              <w:spacing w:line="248" w:lineRule="exact"/>
              <w:ind w:left="107"/>
              <w:rPr>
                <w:b/>
                <w:sz w:val="22"/>
              </w:rPr>
            </w:pPr>
            <w:r>
              <w:rPr>
                <w:b/>
                <w:spacing w:val="-2"/>
                <w:sz w:val="22"/>
              </w:rPr>
              <w:t>2019:</w:t>
            </w:r>
          </w:p>
          <w:p>
            <w:pPr>
              <w:pStyle w:val="TableParagraph"/>
              <w:ind w:left="107" w:right="96"/>
              <w:jc w:val="both"/>
              <w:rPr>
                <w:sz w:val="22"/>
              </w:rPr>
            </w:pPr>
            <w:r>
              <w:rPr>
                <w:sz w:val="22"/>
              </w:rPr>
              <w:t>Удео дугорочно незапослених </w:t>
            </w:r>
            <w:r>
              <w:rPr>
                <w:sz w:val="22"/>
              </w:rPr>
              <w:t>у укупном броју незапослених на евиденцији НСЗ:</w:t>
            </w:r>
          </w:p>
          <w:p>
            <w:pPr>
              <w:pStyle w:val="TableParagraph"/>
              <w:spacing w:line="252" w:lineRule="exact"/>
              <w:ind w:left="107"/>
              <w:rPr>
                <w:sz w:val="22"/>
              </w:rPr>
            </w:pPr>
            <w:r>
              <w:rPr>
                <w:spacing w:val="-5"/>
                <w:sz w:val="22"/>
              </w:rPr>
              <w:t>66%</w:t>
            </w:r>
          </w:p>
          <w:p>
            <w:pPr>
              <w:pStyle w:val="TableParagraph"/>
              <w:spacing w:line="252" w:lineRule="exact" w:before="107"/>
              <w:ind w:left="107"/>
              <w:rPr>
                <w:sz w:val="22"/>
              </w:rPr>
            </w:pPr>
            <w:r>
              <w:rPr>
                <w:sz w:val="22"/>
              </w:rPr>
              <w:t>Стопа</w:t>
            </w:r>
            <w:r>
              <w:rPr>
                <w:spacing w:val="-14"/>
                <w:sz w:val="22"/>
              </w:rPr>
              <w:t> </w:t>
            </w:r>
            <w:r>
              <w:rPr>
                <w:sz w:val="22"/>
              </w:rPr>
              <w:t>дугорочне</w:t>
            </w:r>
            <w:r>
              <w:rPr>
                <w:spacing w:val="-14"/>
                <w:sz w:val="22"/>
              </w:rPr>
              <w:t> </w:t>
            </w:r>
            <w:r>
              <w:rPr>
                <w:sz w:val="22"/>
              </w:rPr>
              <w:t>незапослености: </w:t>
            </w:r>
            <w:r>
              <w:rPr>
                <w:spacing w:val="-4"/>
                <w:sz w:val="22"/>
              </w:rPr>
              <w:t>6,1%</w:t>
            </w:r>
          </w:p>
        </w:tc>
        <w:tc>
          <w:tcPr>
            <w:tcW w:w="3616" w:type="dxa"/>
          </w:tcPr>
          <w:p>
            <w:pPr>
              <w:pStyle w:val="TableParagraph"/>
              <w:spacing w:line="248" w:lineRule="exact"/>
              <w:ind w:left="106"/>
              <w:rPr>
                <w:b/>
                <w:sz w:val="22"/>
              </w:rPr>
            </w:pPr>
            <w:r>
              <w:rPr>
                <w:b/>
                <w:spacing w:val="-2"/>
                <w:sz w:val="22"/>
              </w:rPr>
              <w:t>2026:</w:t>
            </w:r>
          </w:p>
          <w:p>
            <w:pPr>
              <w:pStyle w:val="TableParagraph"/>
              <w:ind w:left="106" w:right="96"/>
              <w:jc w:val="both"/>
              <w:rPr>
                <w:sz w:val="22"/>
              </w:rPr>
            </w:pPr>
            <w:r>
              <w:rPr>
                <w:sz w:val="22"/>
              </w:rPr>
              <w:t>Удео дугорочно незапослених </w:t>
            </w:r>
            <w:r>
              <w:rPr>
                <w:sz w:val="22"/>
              </w:rPr>
              <w:t>у укупном броју незапослених на евиденцији НСЗ:</w:t>
            </w:r>
          </w:p>
          <w:p>
            <w:pPr>
              <w:pStyle w:val="TableParagraph"/>
              <w:spacing w:line="252" w:lineRule="exact"/>
              <w:ind w:left="106"/>
              <w:rPr>
                <w:sz w:val="22"/>
              </w:rPr>
            </w:pPr>
            <w:r>
              <w:rPr>
                <w:spacing w:val="-5"/>
                <w:sz w:val="22"/>
              </w:rPr>
              <w:t>61%</w:t>
            </w:r>
          </w:p>
          <w:p>
            <w:pPr>
              <w:pStyle w:val="TableParagraph"/>
              <w:spacing w:line="252" w:lineRule="exact" w:before="107"/>
              <w:ind w:left="106"/>
              <w:rPr>
                <w:sz w:val="22"/>
              </w:rPr>
            </w:pPr>
            <w:r>
              <w:rPr>
                <w:sz w:val="22"/>
              </w:rPr>
              <w:t>Стопа</w:t>
            </w:r>
            <w:r>
              <w:rPr>
                <w:spacing w:val="-14"/>
                <w:sz w:val="22"/>
              </w:rPr>
              <w:t> </w:t>
            </w:r>
            <w:r>
              <w:rPr>
                <w:sz w:val="22"/>
              </w:rPr>
              <w:t>дугорочне</w:t>
            </w:r>
            <w:r>
              <w:rPr>
                <w:spacing w:val="-14"/>
                <w:sz w:val="22"/>
              </w:rPr>
              <w:t> </w:t>
            </w:r>
            <w:r>
              <w:rPr>
                <w:sz w:val="22"/>
              </w:rPr>
              <w:t>незапослености: </w:t>
            </w:r>
            <w:r>
              <w:rPr>
                <w:spacing w:val="-4"/>
                <w:sz w:val="22"/>
              </w:rPr>
              <w:t>1,9%</w:t>
            </w:r>
          </w:p>
        </w:tc>
      </w:tr>
    </w:tbl>
    <w:p>
      <w:pPr>
        <w:pStyle w:val="TableParagraph"/>
        <w:spacing w:after="0" w:line="252" w:lineRule="exact"/>
        <w:rPr>
          <w:sz w:val="22"/>
        </w:rPr>
        <w:sectPr>
          <w:pgSz w:w="12240" w:h="15840"/>
          <w:pgMar w:header="0" w:footer="702" w:top="1420" w:bottom="1405" w:left="1080" w:right="72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7231"/>
      </w:tblGrid>
      <w:tr>
        <w:trPr>
          <w:trHeight w:val="746" w:hRule="atLeast"/>
        </w:trPr>
        <w:tc>
          <w:tcPr>
            <w:tcW w:w="2122" w:type="dxa"/>
          </w:tcPr>
          <w:p>
            <w:pPr>
              <w:pStyle w:val="TableParagraph"/>
              <w:spacing w:line="247" w:lineRule="exact"/>
              <w:ind w:left="107"/>
              <w:rPr>
                <w:i/>
                <w:sz w:val="22"/>
              </w:rPr>
            </w:pPr>
            <w:r>
              <w:rPr>
                <w:i/>
                <w:sz w:val="22"/>
              </w:rPr>
              <w:t>Извор</w:t>
            </w:r>
            <w:r>
              <w:rPr>
                <w:i/>
                <w:spacing w:val="-4"/>
                <w:sz w:val="22"/>
              </w:rPr>
              <w:t> </w:t>
            </w:r>
            <w:r>
              <w:rPr>
                <w:i/>
                <w:spacing w:val="-2"/>
                <w:sz w:val="22"/>
              </w:rPr>
              <w:t>провере</w:t>
            </w:r>
          </w:p>
        </w:tc>
        <w:tc>
          <w:tcPr>
            <w:tcW w:w="7231" w:type="dxa"/>
          </w:tcPr>
          <w:p>
            <w:pPr>
              <w:pStyle w:val="TableParagraph"/>
              <w:spacing w:line="247" w:lineRule="exact"/>
              <w:ind w:left="107"/>
              <w:rPr>
                <w:sz w:val="22"/>
              </w:rPr>
            </w:pPr>
            <w:r>
              <w:rPr>
                <w:sz w:val="22"/>
              </w:rPr>
              <w:t>Извештај</w:t>
            </w:r>
            <w:r>
              <w:rPr>
                <w:spacing w:val="-2"/>
                <w:sz w:val="22"/>
              </w:rPr>
              <w:t> </w:t>
            </w:r>
            <w:r>
              <w:rPr>
                <w:sz w:val="22"/>
              </w:rPr>
              <w:t>о</w:t>
            </w:r>
            <w:r>
              <w:rPr>
                <w:spacing w:val="-4"/>
                <w:sz w:val="22"/>
              </w:rPr>
              <w:t> </w:t>
            </w:r>
            <w:r>
              <w:rPr>
                <w:sz w:val="22"/>
              </w:rPr>
              <w:t>раду,</w:t>
            </w:r>
            <w:r>
              <w:rPr>
                <w:spacing w:val="-5"/>
                <w:sz w:val="22"/>
              </w:rPr>
              <w:t> </w:t>
            </w:r>
            <w:r>
              <w:rPr>
                <w:sz w:val="22"/>
              </w:rPr>
              <w:t>Национална</w:t>
            </w:r>
            <w:r>
              <w:rPr>
                <w:spacing w:val="-4"/>
                <w:sz w:val="22"/>
              </w:rPr>
              <w:t> </w:t>
            </w:r>
            <w:r>
              <w:rPr>
                <w:sz w:val="22"/>
              </w:rPr>
              <w:t>служба</w:t>
            </w:r>
            <w:r>
              <w:rPr>
                <w:spacing w:val="-4"/>
                <w:sz w:val="22"/>
              </w:rPr>
              <w:t> </w:t>
            </w:r>
            <w:r>
              <w:rPr>
                <w:sz w:val="22"/>
              </w:rPr>
              <w:t>за</w:t>
            </w:r>
            <w:r>
              <w:rPr>
                <w:spacing w:val="-4"/>
                <w:sz w:val="22"/>
              </w:rPr>
              <w:t> </w:t>
            </w:r>
            <w:r>
              <w:rPr>
                <w:spacing w:val="-2"/>
                <w:sz w:val="22"/>
              </w:rPr>
              <w:t>запошљавање</w:t>
            </w:r>
          </w:p>
          <w:p>
            <w:pPr>
              <w:pStyle w:val="TableParagraph"/>
              <w:spacing w:before="121"/>
              <w:ind w:left="107"/>
              <w:rPr>
                <w:sz w:val="22"/>
              </w:rPr>
            </w:pPr>
            <w:r>
              <w:rPr>
                <w:sz w:val="22"/>
              </w:rPr>
              <w:t>Анкета</w:t>
            </w:r>
            <w:r>
              <w:rPr>
                <w:spacing w:val="-4"/>
                <w:sz w:val="22"/>
              </w:rPr>
              <w:t> </w:t>
            </w:r>
            <w:r>
              <w:rPr>
                <w:sz w:val="22"/>
              </w:rPr>
              <w:t>о</w:t>
            </w:r>
            <w:r>
              <w:rPr>
                <w:spacing w:val="-4"/>
                <w:sz w:val="22"/>
              </w:rPr>
              <w:t> </w:t>
            </w:r>
            <w:r>
              <w:rPr>
                <w:sz w:val="22"/>
              </w:rPr>
              <w:t>радној</w:t>
            </w:r>
            <w:r>
              <w:rPr>
                <w:spacing w:val="-4"/>
                <w:sz w:val="22"/>
              </w:rPr>
              <w:t> </w:t>
            </w:r>
            <w:r>
              <w:rPr>
                <w:sz w:val="22"/>
              </w:rPr>
              <w:t>снази,</w:t>
            </w:r>
            <w:r>
              <w:rPr>
                <w:spacing w:val="-4"/>
                <w:sz w:val="22"/>
              </w:rPr>
              <w:t> </w:t>
            </w:r>
            <w:r>
              <w:rPr>
                <w:sz w:val="22"/>
              </w:rPr>
              <w:t>Републички</w:t>
            </w:r>
            <w:r>
              <w:rPr>
                <w:spacing w:val="-4"/>
                <w:sz w:val="22"/>
              </w:rPr>
              <w:t> </w:t>
            </w:r>
            <w:r>
              <w:rPr>
                <w:sz w:val="22"/>
              </w:rPr>
              <w:t>завод</w:t>
            </w:r>
            <w:r>
              <w:rPr>
                <w:spacing w:val="-4"/>
                <w:sz w:val="22"/>
              </w:rPr>
              <w:t> </w:t>
            </w:r>
            <w:r>
              <w:rPr>
                <w:sz w:val="22"/>
              </w:rPr>
              <w:t>за</w:t>
            </w:r>
            <w:r>
              <w:rPr>
                <w:spacing w:val="-3"/>
                <w:sz w:val="22"/>
              </w:rPr>
              <w:t> </w:t>
            </w:r>
            <w:r>
              <w:rPr>
                <w:spacing w:val="-2"/>
                <w:sz w:val="22"/>
              </w:rPr>
              <w:t>статистику</w:t>
            </w:r>
          </w:p>
        </w:tc>
      </w:tr>
    </w:tbl>
    <w:p>
      <w:pPr>
        <w:pStyle w:val="BodyText"/>
        <w:spacing w:before="136"/>
        <w:ind w:left="0"/>
        <w:jc w:val="left"/>
      </w:pPr>
    </w:p>
    <w:p>
      <w:pPr>
        <w:pStyle w:val="Heading2"/>
        <w:tabs>
          <w:tab w:pos="9750" w:val="left" w:leader="none"/>
        </w:tabs>
        <w:spacing w:line="398" w:lineRule="auto"/>
        <w:ind w:right="687" w:hanging="29"/>
        <w:jc w:val="both"/>
      </w:pPr>
      <w:r>
        <w:rPr>
          <w:b w:val="0"/>
          <w:color w:val="000000"/>
          <w:spacing w:val="-12"/>
          <w:shd w:fill="E7E6E6" w:color="auto" w:val="clear"/>
        </w:rPr>
        <w:t> </w:t>
      </w:r>
      <w:r>
        <w:rPr>
          <w:color w:val="000000"/>
          <w:shd w:fill="E7E6E6" w:color="auto" w:val="clear"/>
        </w:rPr>
        <w:t>Посебни циљ 3.</w:t>
        <w:tab/>
      </w:r>
      <w:r>
        <w:rPr>
          <w:color w:val="000000"/>
        </w:rPr>
        <w:t> Унапређен институционални оквир за политику запошљавања</w:t>
      </w:r>
    </w:p>
    <w:p>
      <w:pPr>
        <w:pStyle w:val="BodyText"/>
        <w:ind w:right="718" w:firstLine="719"/>
      </w:pPr>
      <w:r>
        <w:rPr/>
        <w:t>Унапређен институционални оквир</w:t>
      </w:r>
      <w:r>
        <w:rPr>
          <w:spacing w:val="-1"/>
        </w:rPr>
        <w:t> </w:t>
      </w:r>
      <w:r>
        <w:rPr/>
        <w:t>за</w:t>
      </w:r>
      <w:r>
        <w:rPr>
          <w:spacing w:val="-2"/>
        </w:rPr>
        <w:t> </w:t>
      </w:r>
      <w:r>
        <w:rPr/>
        <w:t>политику</w:t>
      </w:r>
      <w:r>
        <w:rPr>
          <w:spacing w:val="-4"/>
        </w:rPr>
        <w:t> </w:t>
      </w:r>
      <w:r>
        <w:rPr/>
        <w:t>запошљавања подразумева</w:t>
      </w:r>
      <w:r>
        <w:rPr>
          <w:spacing w:val="-1"/>
        </w:rPr>
        <w:t> </w:t>
      </w:r>
      <w:r>
        <w:rPr/>
        <w:t>да се на основу</w:t>
      </w:r>
      <w:r>
        <w:rPr>
          <w:spacing w:val="-3"/>
        </w:rPr>
        <w:t> </w:t>
      </w:r>
      <w:r>
        <w:rPr/>
        <w:t>анализе</w:t>
      </w:r>
      <w:r>
        <w:rPr>
          <w:spacing w:val="-1"/>
        </w:rPr>
        <w:t> </w:t>
      </w:r>
      <w:r>
        <w:rPr/>
        <w:t>ефеката</w:t>
      </w:r>
      <w:r>
        <w:rPr>
          <w:spacing w:val="-1"/>
        </w:rPr>
        <w:t> </w:t>
      </w:r>
      <w:r>
        <w:rPr/>
        <w:t>прописа, њихове</w:t>
      </w:r>
      <w:r>
        <w:rPr>
          <w:spacing w:val="-2"/>
        </w:rPr>
        <w:t> </w:t>
      </w:r>
      <w:r>
        <w:rPr/>
        <w:t>примене у</w:t>
      </w:r>
      <w:r>
        <w:rPr>
          <w:spacing w:val="-5"/>
        </w:rPr>
        <w:t> </w:t>
      </w:r>
      <w:r>
        <w:rPr/>
        <w:t>пракси и потребе</w:t>
      </w:r>
      <w:r>
        <w:rPr>
          <w:spacing w:val="-1"/>
        </w:rPr>
        <w:t> </w:t>
      </w:r>
      <w:r>
        <w:rPr/>
        <w:t>за усаглашавањем</w:t>
      </w:r>
      <w:r>
        <w:rPr>
          <w:spacing w:val="-1"/>
        </w:rPr>
        <w:t> </w:t>
      </w:r>
      <w:r>
        <w:rPr/>
        <w:t>са ЕУ директивама и другим прописима ЕУ изврше измене или допуне или донесу нови прописи којима би се на свеобухватан начин уредиле области од значаја за рад, запошљавање, професионалну рехабилитацију ОСИ, социјално предузетништво и др., али истовремено</w:t>
      </w:r>
      <w:r>
        <w:rPr>
          <w:spacing w:val="-3"/>
        </w:rPr>
        <w:t> </w:t>
      </w:r>
      <w:r>
        <w:rPr/>
        <w:t>подразумева</w:t>
      </w:r>
      <w:r>
        <w:rPr>
          <w:spacing w:val="-5"/>
        </w:rPr>
        <w:t> </w:t>
      </w:r>
      <w:r>
        <w:rPr/>
        <w:t>и</w:t>
      </w:r>
      <w:r>
        <w:rPr>
          <w:spacing w:val="-3"/>
        </w:rPr>
        <w:t> </w:t>
      </w:r>
      <w:r>
        <w:rPr/>
        <w:t>ојачане</w:t>
      </w:r>
      <w:r>
        <w:rPr>
          <w:spacing w:val="-4"/>
        </w:rPr>
        <w:t> </w:t>
      </w:r>
      <w:r>
        <w:rPr/>
        <w:t>капацитете</w:t>
      </w:r>
      <w:r>
        <w:rPr>
          <w:spacing w:val="-6"/>
        </w:rPr>
        <w:t> </w:t>
      </w:r>
      <w:r>
        <w:rPr/>
        <w:t>актера</w:t>
      </w:r>
      <w:r>
        <w:rPr>
          <w:spacing w:val="-5"/>
        </w:rPr>
        <w:t> </w:t>
      </w:r>
      <w:r>
        <w:rPr/>
        <w:t>на</w:t>
      </w:r>
      <w:r>
        <w:rPr>
          <w:spacing w:val="-4"/>
        </w:rPr>
        <w:t> </w:t>
      </w:r>
      <w:r>
        <w:rPr/>
        <w:t>тржишту</w:t>
      </w:r>
      <w:r>
        <w:rPr>
          <w:spacing w:val="-11"/>
        </w:rPr>
        <w:t> </w:t>
      </w:r>
      <w:r>
        <w:rPr/>
        <w:t>рада,</w:t>
      </w:r>
      <w:r>
        <w:rPr>
          <w:spacing w:val="-3"/>
        </w:rPr>
        <w:t> </w:t>
      </w:r>
      <w:r>
        <w:rPr/>
        <w:t>органа</w:t>
      </w:r>
      <w:r>
        <w:rPr>
          <w:spacing w:val="-4"/>
        </w:rPr>
        <w:t> </w:t>
      </w:r>
      <w:r>
        <w:rPr/>
        <w:t>надлежних за креирање политике запошљавања, носилаца послова запошљавања и др.</w:t>
      </w:r>
    </w:p>
    <w:p>
      <w:pPr>
        <w:pStyle w:val="BodyText"/>
        <w:spacing w:before="117"/>
        <w:ind w:right="721" w:firstLine="719"/>
      </w:pPr>
      <w:r>
        <w:rPr/>
        <w:t>Унапређен капацитет носилаца послова запошљавања, првенствено НСЗ кореспондира са захтевом да НСЗ постане модерна јавна служба способна да одговори на захтеве</w:t>
      </w:r>
      <w:r>
        <w:rPr>
          <w:spacing w:val="-9"/>
        </w:rPr>
        <w:t> </w:t>
      </w:r>
      <w:r>
        <w:rPr/>
        <w:t>тржишта</w:t>
      </w:r>
      <w:r>
        <w:rPr>
          <w:spacing w:val="-8"/>
        </w:rPr>
        <w:t> </w:t>
      </w:r>
      <w:r>
        <w:rPr/>
        <w:t>рада</w:t>
      </w:r>
      <w:r>
        <w:rPr>
          <w:spacing w:val="-9"/>
        </w:rPr>
        <w:t> </w:t>
      </w:r>
      <w:r>
        <w:rPr/>
        <w:t>које</w:t>
      </w:r>
      <w:r>
        <w:rPr>
          <w:spacing w:val="-9"/>
        </w:rPr>
        <w:t> </w:t>
      </w:r>
      <w:r>
        <w:rPr/>
        <w:t>се</w:t>
      </w:r>
      <w:r>
        <w:rPr>
          <w:spacing w:val="-7"/>
        </w:rPr>
        <w:t> </w:t>
      </w:r>
      <w:r>
        <w:rPr/>
        <w:t>мења,</w:t>
      </w:r>
      <w:r>
        <w:rPr>
          <w:spacing w:val="-8"/>
        </w:rPr>
        <w:t> </w:t>
      </w:r>
      <w:r>
        <w:rPr/>
        <w:t>на</w:t>
      </w:r>
      <w:r>
        <w:rPr>
          <w:spacing w:val="-5"/>
        </w:rPr>
        <w:t> </w:t>
      </w:r>
      <w:r>
        <w:rPr/>
        <w:t>потребе</w:t>
      </w:r>
      <w:r>
        <w:rPr>
          <w:spacing w:val="-7"/>
        </w:rPr>
        <w:t> </w:t>
      </w:r>
      <w:r>
        <w:rPr/>
        <w:t>послодаваца</w:t>
      </w:r>
      <w:r>
        <w:rPr>
          <w:spacing w:val="-9"/>
        </w:rPr>
        <w:t> </w:t>
      </w:r>
      <w:r>
        <w:rPr/>
        <w:t>и</w:t>
      </w:r>
      <w:r>
        <w:rPr>
          <w:spacing w:val="-7"/>
        </w:rPr>
        <w:t> </w:t>
      </w:r>
      <w:r>
        <w:rPr/>
        <w:t>незапослених</w:t>
      </w:r>
      <w:r>
        <w:rPr>
          <w:spacing w:val="-6"/>
        </w:rPr>
        <w:t> </w:t>
      </w:r>
      <w:r>
        <w:rPr/>
        <w:t>лица,</w:t>
      </w:r>
      <w:r>
        <w:rPr>
          <w:spacing w:val="-8"/>
        </w:rPr>
        <w:t> </w:t>
      </w:r>
      <w:r>
        <w:rPr/>
        <w:t>да</w:t>
      </w:r>
      <w:r>
        <w:rPr>
          <w:spacing w:val="-7"/>
        </w:rPr>
        <w:t> </w:t>
      </w:r>
      <w:r>
        <w:rPr/>
        <w:t>услуга коју</w:t>
      </w:r>
      <w:r>
        <w:rPr>
          <w:spacing w:val="-11"/>
        </w:rPr>
        <w:t> </w:t>
      </w:r>
      <w:r>
        <w:rPr/>
        <w:t>пружа</w:t>
      </w:r>
      <w:r>
        <w:rPr>
          <w:spacing w:val="-7"/>
        </w:rPr>
        <w:t> </w:t>
      </w:r>
      <w:r>
        <w:rPr/>
        <w:t>постигне</w:t>
      </w:r>
      <w:r>
        <w:rPr>
          <w:spacing w:val="-7"/>
        </w:rPr>
        <w:t> </w:t>
      </w:r>
      <w:r>
        <w:rPr/>
        <w:t>виши</w:t>
      </w:r>
      <w:r>
        <w:rPr>
          <w:spacing w:val="-5"/>
        </w:rPr>
        <w:t> </w:t>
      </w:r>
      <w:r>
        <w:rPr/>
        <w:t>ниво</w:t>
      </w:r>
      <w:r>
        <w:rPr>
          <w:spacing w:val="-6"/>
        </w:rPr>
        <w:t> </w:t>
      </w:r>
      <w:r>
        <w:rPr/>
        <w:t>квалитета,</w:t>
      </w:r>
      <w:r>
        <w:rPr>
          <w:spacing w:val="-6"/>
        </w:rPr>
        <w:t> </w:t>
      </w:r>
      <w:r>
        <w:rPr/>
        <w:t>као</w:t>
      </w:r>
      <w:r>
        <w:rPr>
          <w:spacing w:val="-6"/>
        </w:rPr>
        <w:t> </w:t>
      </w:r>
      <w:r>
        <w:rPr/>
        <w:t>и</w:t>
      </w:r>
      <w:r>
        <w:rPr>
          <w:spacing w:val="-5"/>
        </w:rPr>
        <w:t> </w:t>
      </w:r>
      <w:r>
        <w:rPr/>
        <w:t>да</w:t>
      </w:r>
      <w:r>
        <w:rPr>
          <w:spacing w:val="-7"/>
        </w:rPr>
        <w:t> </w:t>
      </w:r>
      <w:r>
        <w:rPr/>
        <w:t>се</w:t>
      </w:r>
      <w:r>
        <w:rPr>
          <w:spacing w:val="-2"/>
        </w:rPr>
        <w:t> </w:t>
      </w:r>
      <w:r>
        <w:rPr/>
        <w:t>успостави</w:t>
      </w:r>
      <w:r>
        <w:rPr>
          <w:spacing w:val="-5"/>
        </w:rPr>
        <w:t> </w:t>
      </w:r>
      <w:r>
        <w:rPr/>
        <w:t>дигитализација</w:t>
      </w:r>
      <w:r>
        <w:rPr>
          <w:spacing w:val="-6"/>
        </w:rPr>
        <w:t> </w:t>
      </w:r>
      <w:r>
        <w:rPr/>
        <w:t>појединих </w:t>
      </w:r>
      <w:r>
        <w:rPr>
          <w:spacing w:val="-2"/>
        </w:rPr>
        <w:t>услуга.</w:t>
      </w:r>
    </w:p>
    <w:p>
      <w:pPr>
        <w:pStyle w:val="BodyText"/>
        <w:spacing w:before="174"/>
        <w:ind w:left="0"/>
        <w:jc w:val="left"/>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616"/>
        <w:gridCol w:w="3616"/>
      </w:tblGrid>
      <w:tr>
        <w:trPr>
          <w:trHeight w:val="746" w:hRule="atLeast"/>
        </w:trPr>
        <w:tc>
          <w:tcPr>
            <w:tcW w:w="2122" w:type="dxa"/>
          </w:tcPr>
          <w:p>
            <w:pPr>
              <w:pStyle w:val="TableParagraph"/>
              <w:spacing w:before="179"/>
              <w:ind w:left="107"/>
              <w:rPr>
                <w:i/>
                <w:sz w:val="22"/>
              </w:rPr>
            </w:pPr>
            <w:r>
              <w:rPr>
                <w:i/>
                <w:sz w:val="22"/>
              </w:rPr>
              <w:t>Показатељ</w:t>
            </w:r>
            <w:r>
              <w:rPr>
                <w:i/>
                <w:spacing w:val="-10"/>
                <w:sz w:val="22"/>
              </w:rPr>
              <w:t> </w:t>
            </w:r>
            <w:r>
              <w:rPr>
                <w:i/>
                <w:spacing w:val="-2"/>
                <w:sz w:val="22"/>
              </w:rPr>
              <w:t>исхода</w:t>
            </w:r>
          </w:p>
        </w:tc>
        <w:tc>
          <w:tcPr>
            <w:tcW w:w="7232" w:type="dxa"/>
            <w:gridSpan w:val="2"/>
          </w:tcPr>
          <w:p>
            <w:pPr>
              <w:pStyle w:val="TableParagraph"/>
              <w:spacing w:line="247" w:lineRule="exact"/>
              <w:ind w:left="107"/>
              <w:rPr>
                <w:sz w:val="22"/>
              </w:rPr>
            </w:pPr>
            <w:r>
              <w:rPr>
                <w:sz w:val="22"/>
              </w:rPr>
              <w:t>Усвојени</w:t>
            </w:r>
            <w:r>
              <w:rPr>
                <w:spacing w:val="-5"/>
                <w:sz w:val="22"/>
              </w:rPr>
              <w:t> </w:t>
            </w:r>
            <w:r>
              <w:rPr>
                <w:sz w:val="22"/>
              </w:rPr>
              <w:t>прописи</w:t>
            </w:r>
            <w:r>
              <w:rPr>
                <w:spacing w:val="-3"/>
                <w:sz w:val="22"/>
              </w:rPr>
              <w:t> </w:t>
            </w:r>
            <w:r>
              <w:rPr>
                <w:sz w:val="22"/>
              </w:rPr>
              <w:t>из</w:t>
            </w:r>
            <w:r>
              <w:rPr>
                <w:spacing w:val="-4"/>
                <w:sz w:val="22"/>
              </w:rPr>
              <w:t> </w:t>
            </w:r>
            <w:r>
              <w:rPr>
                <w:sz w:val="22"/>
              </w:rPr>
              <w:t>области</w:t>
            </w:r>
            <w:r>
              <w:rPr>
                <w:spacing w:val="-3"/>
                <w:sz w:val="22"/>
              </w:rPr>
              <w:t> </w:t>
            </w:r>
            <w:r>
              <w:rPr>
                <w:sz w:val="22"/>
              </w:rPr>
              <w:t>рада</w:t>
            </w:r>
            <w:r>
              <w:rPr>
                <w:spacing w:val="-3"/>
                <w:sz w:val="22"/>
              </w:rPr>
              <w:t> </w:t>
            </w:r>
            <w:r>
              <w:rPr>
                <w:sz w:val="22"/>
              </w:rPr>
              <w:t>и</w:t>
            </w:r>
            <w:r>
              <w:rPr>
                <w:spacing w:val="-6"/>
                <w:sz w:val="22"/>
              </w:rPr>
              <w:t> </w:t>
            </w:r>
            <w:r>
              <w:rPr>
                <w:spacing w:val="-2"/>
                <w:sz w:val="22"/>
              </w:rPr>
              <w:t>запошљавања</w:t>
            </w:r>
          </w:p>
          <w:p>
            <w:pPr>
              <w:pStyle w:val="TableParagraph"/>
              <w:spacing w:before="119"/>
              <w:ind w:left="107"/>
              <w:rPr>
                <w:sz w:val="22"/>
              </w:rPr>
            </w:pPr>
            <w:r>
              <w:rPr>
                <w:sz w:val="22"/>
              </w:rPr>
              <w:t>Удео</w:t>
            </w:r>
            <w:r>
              <w:rPr>
                <w:spacing w:val="-5"/>
                <w:sz w:val="22"/>
              </w:rPr>
              <w:t> </w:t>
            </w:r>
            <w:r>
              <w:rPr>
                <w:sz w:val="22"/>
              </w:rPr>
              <w:t>издвајања</w:t>
            </w:r>
            <w:r>
              <w:rPr>
                <w:spacing w:val="-3"/>
                <w:sz w:val="22"/>
              </w:rPr>
              <w:t> </w:t>
            </w:r>
            <w:r>
              <w:rPr>
                <w:sz w:val="22"/>
              </w:rPr>
              <w:t>за</w:t>
            </w:r>
            <w:r>
              <w:rPr>
                <w:spacing w:val="-1"/>
                <w:sz w:val="22"/>
              </w:rPr>
              <w:t> </w:t>
            </w:r>
            <w:r>
              <w:rPr>
                <w:sz w:val="22"/>
              </w:rPr>
              <w:t>мере</w:t>
            </w:r>
            <w:r>
              <w:rPr>
                <w:spacing w:val="-3"/>
                <w:sz w:val="22"/>
              </w:rPr>
              <w:t> </w:t>
            </w:r>
            <w:r>
              <w:rPr>
                <w:sz w:val="22"/>
              </w:rPr>
              <w:t>АПЗ</w:t>
            </w:r>
            <w:r>
              <w:rPr>
                <w:spacing w:val="-2"/>
                <w:sz w:val="22"/>
              </w:rPr>
              <w:t> </w:t>
            </w:r>
            <w:r>
              <w:rPr>
                <w:sz w:val="22"/>
              </w:rPr>
              <w:t>у</w:t>
            </w:r>
            <w:r>
              <w:rPr>
                <w:spacing w:val="-5"/>
                <w:sz w:val="22"/>
              </w:rPr>
              <w:t> БДП</w:t>
            </w:r>
          </w:p>
        </w:tc>
      </w:tr>
      <w:tr>
        <w:trPr>
          <w:trHeight w:val="371" w:hRule="atLeast"/>
        </w:trPr>
        <w:tc>
          <w:tcPr>
            <w:tcW w:w="2122" w:type="dxa"/>
          </w:tcPr>
          <w:p>
            <w:pPr>
              <w:pStyle w:val="TableParagraph"/>
              <w:spacing w:line="247" w:lineRule="exact"/>
              <w:ind w:left="107"/>
              <w:rPr>
                <w:i/>
                <w:sz w:val="22"/>
              </w:rPr>
            </w:pPr>
            <w:r>
              <w:rPr>
                <w:i/>
                <w:sz w:val="22"/>
              </w:rPr>
              <w:t>Јединица</w:t>
            </w:r>
            <w:r>
              <w:rPr>
                <w:i/>
                <w:spacing w:val="-5"/>
                <w:sz w:val="22"/>
              </w:rPr>
              <w:t> </w:t>
            </w:r>
            <w:r>
              <w:rPr>
                <w:i/>
                <w:spacing w:val="-4"/>
                <w:sz w:val="22"/>
              </w:rPr>
              <w:t>мере</w:t>
            </w:r>
          </w:p>
        </w:tc>
        <w:tc>
          <w:tcPr>
            <w:tcW w:w="7232" w:type="dxa"/>
            <w:gridSpan w:val="2"/>
          </w:tcPr>
          <w:p>
            <w:pPr>
              <w:pStyle w:val="TableParagraph"/>
              <w:spacing w:line="247" w:lineRule="exact"/>
              <w:ind w:left="107"/>
              <w:rPr>
                <w:sz w:val="22"/>
              </w:rPr>
            </w:pPr>
            <w:r>
              <w:rPr>
                <w:spacing w:val="-2"/>
                <w:sz w:val="22"/>
              </w:rPr>
              <w:t>Проценат</w:t>
            </w:r>
          </w:p>
        </w:tc>
      </w:tr>
      <w:tr>
        <w:trPr>
          <w:trHeight w:val="1638" w:hRule="atLeast"/>
        </w:trPr>
        <w:tc>
          <w:tcPr>
            <w:tcW w:w="2122" w:type="dxa"/>
          </w:tcPr>
          <w:p>
            <w:pPr>
              <w:pStyle w:val="TableParagraph"/>
              <w:spacing w:before="247"/>
              <w:rPr>
                <w:sz w:val="22"/>
              </w:rPr>
            </w:pPr>
          </w:p>
          <w:p>
            <w:pPr>
              <w:pStyle w:val="TableParagraph"/>
              <w:ind w:left="107"/>
              <w:rPr>
                <w:i/>
                <w:sz w:val="22"/>
              </w:rPr>
            </w:pPr>
            <w:r>
              <w:rPr>
                <w:i/>
                <w:sz w:val="22"/>
              </w:rPr>
              <w:t>Почетна</w:t>
            </w:r>
            <w:r>
              <w:rPr>
                <w:i/>
                <w:spacing w:val="-14"/>
                <w:sz w:val="22"/>
              </w:rPr>
              <w:t> </w:t>
            </w:r>
            <w:r>
              <w:rPr>
                <w:i/>
                <w:sz w:val="22"/>
              </w:rPr>
              <w:t>и</w:t>
            </w:r>
            <w:r>
              <w:rPr>
                <w:i/>
                <w:spacing w:val="-14"/>
                <w:sz w:val="22"/>
              </w:rPr>
              <w:t> </w:t>
            </w:r>
            <w:r>
              <w:rPr>
                <w:i/>
                <w:sz w:val="22"/>
              </w:rPr>
              <w:t>циљана </w:t>
            </w:r>
            <w:r>
              <w:rPr>
                <w:i/>
                <w:spacing w:val="-2"/>
                <w:sz w:val="22"/>
              </w:rPr>
              <w:t>вредност</w:t>
            </w:r>
          </w:p>
        </w:tc>
        <w:tc>
          <w:tcPr>
            <w:tcW w:w="3616" w:type="dxa"/>
          </w:tcPr>
          <w:p>
            <w:pPr>
              <w:pStyle w:val="TableParagraph"/>
              <w:spacing w:line="250" w:lineRule="exact"/>
              <w:ind w:left="107"/>
              <w:rPr>
                <w:b/>
                <w:sz w:val="22"/>
              </w:rPr>
            </w:pPr>
            <w:r>
              <w:rPr>
                <w:b/>
                <w:spacing w:val="-2"/>
                <w:sz w:val="22"/>
              </w:rPr>
              <w:t>2019:</w:t>
            </w:r>
          </w:p>
          <w:p>
            <w:pPr>
              <w:pStyle w:val="TableParagraph"/>
              <w:spacing w:line="251" w:lineRule="exact"/>
              <w:ind w:left="107"/>
              <w:rPr>
                <w:sz w:val="22"/>
              </w:rPr>
            </w:pPr>
            <w:r>
              <w:rPr>
                <w:sz w:val="22"/>
              </w:rPr>
              <w:t>Број</w:t>
            </w:r>
            <w:r>
              <w:rPr>
                <w:spacing w:val="1"/>
                <w:sz w:val="22"/>
              </w:rPr>
              <w:t> </w:t>
            </w:r>
            <w:r>
              <w:rPr>
                <w:spacing w:val="-2"/>
                <w:sz w:val="22"/>
              </w:rPr>
              <w:t>прописа</w:t>
            </w:r>
          </w:p>
          <w:p>
            <w:pPr>
              <w:pStyle w:val="TableParagraph"/>
              <w:spacing w:line="252" w:lineRule="exact"/>
              <w:ind w:left="107"/>
              <w:rPr>
                <w:sz w:val="22"/>
              </w:rPr>
            </w:pPr>
            <w:r>
              <w:rPr>
                <w:spacing w:val="-10"/>
                <w:sz w:val="22"/>
              </w:rPr>
              <w:t>/</w:t>
            </w:r>
          </w:p>
          <w:p>
            <w:pPr>
              <w:pStyle w:val="TableParagraph"/>
              <w:spacing w:before="108"/>
              <w:rPr>
                <w:sz w:val="22"/>
              </w:rPr>
            </w:pPr>
          </w:p>
          <w:p>
            <w:pPr>
              <w:pStyle w:val="TableParagraph"/>
              <w:spacing w:line="252" w:lineRule="exact" w:before="1"/>
              <w:ind w:left="107"/>
              <w:rPr>
                <w:sz w:val="22"/>
              </w:rPr>
            </w:pPr>
            <w:r>
              <w:rPr>
                <w:sz w:val="22"/>
              </w:rPr>
              <w:t>Удео</w:t>
            </w:r>
            <w:r>
              <w:rPr>
                <w:spacing w:val="-6"/>
                <w:sz w:val="22"/>
              </w:rPr>
              <w:t> </w:t>
            </w:r>
            <w:r>
              <w:rPr>
                <w:sz w:val="22"/>
              </w:rPr>
              <w:t>издвајања</w:t>
            </w:r>
            <w:r>
              <w:rPr>
                <w:spacing w:val="-6"/>
                <w:sz w:val="22"/>
              </w:rPr>
              <w:t> </w:t>
            </w:r>
            <w:r>
              <w:rPr>
                <w:sz w:val="22"/>
              </w:rPr>
              <w:t>за</w:t>
            </w:r>
            <w:r>
              <w:rPr>
                <w:spacing w:val="-5"/>
                <w:sz w:val="22"/>
              </w:rPr>
              <w:t> </w:t>
            </w:r>
            <w:r>
              <w:rPr>
                <w:sz w:val="22"/>
              </w:rPr>
              <w:t>мере</w:t>
            </w:r>
            <w:r>
              <w:rPr>
                <w:spacing w:val="-6"/>
                <w:sz w:val="22"/>
              </w:rPr>
              <w:t> </w:t>
            </w:r>
            <w:r>
              <w:rPr>
                <w:sz w:val="22"/>
              </w:rPr>
              <w:t>АПЗ</w:t>
            </w:r>
            <w:r>
              <w:rPr>
                <w:spacing w:val="-6"/>
                <w:sz w:val="22"/>
              </w:rPr>
              <w:t> </w:t>
            </w:r>
            <w:r>
              <w:rPr>
                <w:sz w:val="22"/>
              </w:rPr>
              <w:t>у</w:t>
            </w:r>
            <w:r>
              <w:rPr>
                <w:spacing w:val="-9"/>
                <w:sz w:val="22"/>
              </w:rPr>
              <w:t> </w:t>
            </w:r>
            <w:r>
              <w:rPr>
                <w:sz w:val="22"/>
              </w:rPr>
              <w:t>БДП </w:t>
            </w:r>
            <w:r>
              <w:rPr>
                <w:spacing w:val="-2"/>
                <w:sz w:val="22"/>
              </w:rPr>
              <w:t>0,08%</w:t>
            </w:r>
          </w:p>
        </w:tc>
        <w:tc>
          <w:tcPr>
            <w:tcW w:w="3616" w:type="dxa"/>
          </w:tcPr>
          <w:p>
            <w:pPr>
              <w:pStyle w:val="TableParagraph"/>
              <w:spacing w:line="250" w:lineRule="exact"/>
              <w:ind w:left="106"/>
              <w:rPr>
                <w:b/>
                <w:sz w:val="22"/>
              </w:rPr>
            </w:pPr>
            <w:r>
              <w:rPr>
                <w:b/>
                <w:spacing w:val="-2"/>
                <w:sz w:val="22"/>
              </w:rPr>
              <w:t>2026:</w:t>
            </w:r>
          </w:p>
          <w:p>
            <w:pPr>
              <w:pStyle w:val="TableParagraph"/>
              <w:ind w:left="106" w:right="2263"/>
              <w:rPr>
                <w:sz w:val="22"/>
              </w:rPr>
            </w:pPr>
            <w:r>
              <w:rPr>
                <w:sz w:val="22"/>
              </w:rPr>
              <w:t>Број</w:t>
            </w:r>
            <w:r>
              <w:rPr>
                <w:spacing w:val="-14"/>
                <w:sz w:val="22"/>
              </w:rPr>
              <w:t> </w:t>
            </w:r>
            <w:r>
              <w:rPr>
                <w:sz w:val="22"/>
              </w:rPr>
              <w:t>прописа </w:t>
            </w:r>
            <w:r>
              <w:rPr>
                <w:spacing w:val="-10"/>
                <w:sz w:val="22"/>
              </w:rPr>
              <w:t>4</w:t>
            </w:r>
          </w:p>
          <w:p>
            <w:pPr>
              <w:pStyle w:val="TableParagraph"/>
              <w:spacing w:before="250"/>
              <w:ind w:left="106"/>
              <w:rPr>
                <w:sz w:val="22"/>
              </w:rPr>
            </w:pPr>
            <w:r>
              <w:rPr>
                <w:sz w:val="22"/>
              </w:rPr>
              <w:t>Удео</w:t>
            </w:r>
            <w:r>
              <w:rPr>
                <w:spacing w:val="-6"/>
                <w:sz w:val="22"/>
              </w:rPr>
              <w:t> </w:t>
            </w:r>
            <w:r>
              <w:rPr>
                <w:sz w:val="22"/>
              </w:rPr>
              <w:t>издвајања</w:t>
            </w:r>
            <w:r>
              <w:rPr>
                <w:spacing w:val="-6"/>
                <w:sz w:val="22"/>
              </w:rPr>
              <w:t> </w:t>
            </w:r>
            <w:r>
              <w:rPr>
                <w:sz w:val="22"/>
              </w:rPr>
              <w:t>за</w:t>
            </w:r>
            <w:r>
              <w:rPr>
                <w:spacing w:val="-6"/>
                <w:sz w:val="22"/>
              </w:rPr>
              <w:t> </w:t>
            </w:r>
            <w:r>
              <w:rPr>
                <w:sz w:val="22"/>
              </w:rPr>
              <w:t>мере</w:t>
            </w:r>
            <w:r>
              <w:rPr>
                <w:spacing w:val="-6"/>
                <w:sz w:val="22"/>
              </w:rPr>
              <w:t> </w:t>
            </w:r>
            <w:r>
              <w:rPr>
                <w:sz w:val="22"/>
              </w:rPr>
              <w:t>АПЗ</w:t>
            </w:r>
            <w:r>
              <w:rPr>
                <w:spacing w:val="-6"/>
                <w:sz w:val="22"/>
              </w:rPr>
              <w:t> </w:t>
            </w:r>
            <w:r>
              <w:rPr>
                <w:sz w:val="22"/>
              </w:rPr>
              <w:t>у</w:t>
            </w:r>
            <w:r>
              <w:rPr>
                <w:spacing w:val="-9"/>
                <w:sz w:val="22"/>
              </w:rPr>
              <w:t> </w:t>
            </w:r>
            <w:r>
              <w:rPr>
                <w:sz w:val="22"/>
              </w:rPr>
              <w:t>БДП </w:t>
            </w:r>
            <w:r>
              <w:rPr>
                <w:spacing w:val="-4"/>
                <w:sz w:val="22"/>
              </w:rPr>
              <w:t>0,2%</w:t>
            </w:r>
          </w:p>
        </w:tc>
      </w:tr>
      <w:tr>
        <w:trPr>
          <w:trHeight w:val="746" w:hRule="atLeast"/>
        </w:trPr>
        <w:tc>
          <w:tcPr>
            <w:tcW w:w="2122" w:type="dxa"/>
          </w:tcPr>
          <w:p>
            <w:pPr>
              <w:pStyle w:val="TableParagraph"/>
              <w:spacing w:before="181"/>
              <w:ind w:left="107"/>
              <w:rPr>
                <w:i/>
                <w:sz w:val="22"/>
              </w:rPr>
            </w:pPr>
            <w:r>
              <w:rPr>
                <w:i/>
                <w:sz w:val="22"/>
              </w:rPr>
              <w:t>Извор</w:t>
            </w:r>
            <w:r>
              <w:rPr>
                <w:i/>
                <w:spacing w:val="-4"/>
                <w:sz w:val="22"/>
              </w:rPr>
              <w:t> </w:t>
            </w:r>
            <w:r>
              <w:rPr>
                <w:i/>
                <w:spacing w:val="-2"/>
                <w:sz w:val="22"/>
              </w:rPr>
              <w:t>провере</w:t>
            </w:r>
          </w:p>
        </w:tc>
        <w:tc>
          <w:tcPr>
            <w:tcW w:w="7232" w:type="dxa"/>
            <w:gridSpan w:val="2"/>
          </w:tcPr>
          <w:p>
            <w:pPr>
              <w:pStyle w:val="TableParagraph"/>
              <w:spacing w:line="247" w:lineRule="exact"/>
              <w:ind w:left="107"/>
              <w:rPr>
                <w:sz w:val="22"/>
              </w:rPr>
            </w:pPr>
            <w:r>
              <w:rPr>
                <w:sz w:val="22"/>
              </w:rPr>
              <w:t>Извештаји</w:t>
            </w:r>
            <w:r>
              <w:rPr>
                <w:spacing w:val="-5"/>
                <w:sz w:val="22"/>
              </w:rPr>
              <w:t> ЕК</w:t>
            </w:r>
          </w:p>
          <w:p>
            <w:pPr>
              <w:pStyle w:val="TableParagraph"/>
              <w:spacing w:before="119"/>
              <w:ind w:left="107"/>
              <w:rPr>
                <w:sz w:val="22"/>
              </w:rPr>
            </w:pPr>
            <w:r>
              <w:rPr>
                <w:sz w:val="22"/>
              </w:rPr>
              <w:t>Финансијски</w:t>
            </w:r>
            <w:r>
              <w:rPr>
                <w:spacing w:val="-7"/>
                <w:sz w:val="22"/>
              </w:rPr>
              <w:t> </w:t>
            </w:r>
            <w:r>
              <w:rPr>
                <w:sz w:val="22"/>
              </w:rPr>
              <w:t>план</w:t>
            </w:r>
            <w:r>
              <w:rPr>
                <w:spacing w:val="-4"/>
                <w:sz w:val="22"/>
              </w:rPr>
              <w:t> </w:t>
            </w:r>
            <w:r>
              <w:rPr>
                <w:sz w:val="22"/>
              </w:rPr>
              <w:t>НСЗ</w:t>
            </w:r>
            <w:r>
              <w:rPr>
                <w:spacing w:val="-4"/>
                <w:sz w:val="22"/>
              </w:rPr>
              <w:t> </w:t>
            </w:r>
            <w:r>
              <w:rPr>
                <w:sz w:val="22"/>
              </w:rPr>
              <w:t>и</w:t>
            </w:r>
            <w:r>
              <w:rPr>
                <w:spacing w:val="-6"/>
                <w:sz w:val="22"/>
              </w:rPr>
              <w:t> </w:t>
            </w:r>
            <w:r>
              <w:rPr>
                <w:sz w:val="22"/>
              </w:rPr>
              <w:t>Буџет</w:t>
            </w:r>
            <w:r>
              <w:rPr>
                <w:spacing w:val="-4"/>
                <w:sz w:val="22"/>
              </w:rPr>
              <w:t> </w:t>
            </w:r>
            <w:r>
              <w:rPr>
                <w:spacing w:val="-5"/>
                <w:sz w:val="22"/>
              </w:rPr>
              <w:t>РС</w:t>
            </w:r>
          </w:p>
        </w:tc>
      </w:tr>
    </w:tbl>
    <w:p>
      <w:pPr>
        <w:pStyle w:val="BodyText"/>
        <w:spacing w:before="118"/>
        <w:ind w:left="0"/>
        <w:jc w:val="left"/>
      </w:pPr>
    </w:p>
    <w:p>
      <w:pPr>
        <w:pStyle w:val="Heading1"/>
        <w:numPr>
          <w:ilvl w:val="0"/>
          <w:numId w:val="1"/>
        </w:numPr>
        <w:tabs>
          <w:tab w:pos="2315" w:val="left" w:leader="none"/>
        </w:tabs>
        <w:spacing w:line="240" w:lineRule="auto" w:before="0" w:after="0"/>
        <w:ind w:left="2315" w:right="0" w:hanging="357"/>
        <w:jc w:val="left"/>
      </w:pPr>
      <w:r>
        <w:rPr/>
        <w:t>АНАЛИЗА</w:t>
      </w:r>
      <w:r>
        <w:rPr>
          <w:spacing w:val="-4"/>
        </w:rPr>
        <w:t> </w:t>
      </w:r>
      <w:r>
        <w:rPr/>
        <w:t>ОПЦИЈА</w:t>
      </w:r>
      <w:r>
        <w:rPr>
          <w:spacing w:val="-6"/>
        </w:rPr>
        <w:t> </w:t>
      </w:r>
      <w:r>
        <w:rPr/>
        <w:t>ЗА</w:t>
      </w:r>
      <w:r>
        <w:rPr>
          <w:spacing w:val="-4"/>
        </w:rPr>
        <w:t> </w:t>
      </w:r>
      <w:r>
        <w:rPr/>
        <w:t>ОСТВАРИВАЊЕ</w:t>
      </w:r>
      <w:r>
        <w:rPr>
          <w:spacing w:val="1"/>
        </w:rPr>
        <w:t> </w:t>
      </w:r>
      <w:r>
        <w:rPr>
          <w:spacing w:val="-2"/>
        </w:rPr>
        <w:t>ЦИЉЕВА</w:t>
      </w:r>
    </w:p>
    <w:p>
      <w:pPr>
        <w:pStyle w:val="BodyText"/>
        <w:spacing w:before="236"/>
        <w:ind w:left="0"/>
        <w:jc w:val="left"/>
        <w:rPr>
          <w:b/>
        </w:rPr>
      </w:pPr>
    </w:p>
    <w:p>
      <w:pPr>
        <w:pStyle w:val="BodyText"/>
        <w:ind w:right="719" w:firstLine="719"/>
      </w:pPr>
      <w:r>
        <w:rPr/>
        <w:t>За</w:t>
      </w:r>
      <w:r>
        <w:rPr>
          <w:spacing w:val="-7"/>
        </w:rPr>
        <w:t> </w:t>
      </w:r>
      <w:r>
        <w:rPr/>
        <w:t>постизање</w:t>
      </w:r>
      <w:r>
        <w:rPr>
          <w:spacing w:val="-7"/>
        </w:rPr>
        <w:t> </w:t>
      </w:r>
      <w:r>
        <w:rPr/>
        <w:t>циљева,</w:t>
      </w:r>
      <w:r>
        <w:rPr>
          <w:spacing w:val="-6"/>
        </w:rPr>
        <w:t> </w:t>
      </w:r>
      <w:r>
        <w:rPr/>
        <w:t>разматране</w:t>
      </w:r>
      <w:r>
        <w:rPr>
          <w:spacing w:val="-7"/>
        </w:rPr>
        <w:t> </w:t>
      </w:r>
      <w:r>
        <w:rPr/>
        <w:t>су</w:t>
      </w:r>
      <w:r>
        <w:rPr>
          <w:spacing w:val="-13"/>
        </w:rPr>
        <w:t> </w:t>
      </w:r>
      <w:r>
        <w:rPr/>
        <w:t>три</w:t>
      </w:r>
      <w:r>
        <w:rPr>
          <w:spacing w:val="-4"/>
        </w:rPr>
        <w:t> </w:t>
      </w:r>
      <w:r>
        <w:rPr/>
        <w:t>алтернативне</w:t>
      </w:r>
      <w:r>
        <w:rPr>
          <w:spacing w:val="-7"/>
        </w:rPr>
        <w:t> </w:t>
      </w:r>
      <w:r>
        <w:rPr/>
        <w:t>опције</w:t>
      </w:r>
      <w:r>
        <w:rPr>
          <w:spacing w:val="-6"/>
        </w:rPr>
        <w:t> </w:t>
      </w:r>
      <w:r>
        <w:rPr/>
        <w:t>које</w:t>
      </w:r>
      <w:r>
        <w:rPr>
          <w:spacing w:val="-6"/>
        </w:rPr>
        <w:t> </w:t>
      </w:r>
      <w:r>
        <w:rPr/>
        <w:t>су</w:t>
      </w:r>
      <w:r>
        <w:rPr>
          <w:spacing w:val="-11"/>
        </w:rPr>
        <w:t> </w:t>
      </w:r>
      <w:r>
        <w:rPr/>
        <w:t>анализиране</w:t>
      </w:r>
      <w:r>
        <w:rPr>
          <w:spacing w:val="-7"/>
        </w:rPr>
        <w:t> </w:t>
      </w:r>
      <w:r>
        <w:rPr/>
        <w:t>са становишта критеријума максимизације резултата, тј. испуњења општег циља у што већој мери (ефективност). Разматране опције су:</w:t>
      </w:r>
    </w:p>
    <w:p>
      <w:pPr>
        <w:pStyle w:val="ListParagraph"/>
        <w:numPr>
          <w:ilvl w:val="0"/>
          <w:numId w:val="5"/>
        </w:numPr>
        <w:tabs>
          <w:tab w:pos="1071" w:val="left" w:leader="none"/>
          <w:tab w:pos="1073" w:val="left" w:leader="none"/>
        </w:tabs>
        <w:spacing w:line="240" w:lineRule="auto" w:before="120" w:after="0"/>
        <w:ind w:left="1073" w:right="718" w:hanging="356"/>
        <w:jc w:val="both"/>
        <w:rPr>
          <w:sz w:val="24"/>
        </w:rPr>
      </w:pPr>
      <w:r>
        <w:rPr>
          <w:i/>
          <w:sz w:val="24"/>
        </w:rPr>
        <w:t>Status quo </w:t>
      </w:r>
      <w:r>
        <w:rPr>
          <w:sz w:val="24"/>
        </w:rPr>
        <w:t>опција – </w:t>
      </w:r>
      <w:r>
        <w:rPr>
          <w:b/>
          <w:sz w:val="24"/>
        </w:rPr>
        <w:t>уска секторска стратегија</w:t>
      </w:r>
      <w:r>
        <w:rPr>
          <w:sz w:val="24"/>
        </w:rPr>
        <w:t>. Опција подразумева задржавање постојећег стања у области политике запошљавања: Министарство за рад, запошљавање, борачка и социјална питања је носилац функције за креирање и праћење</w:t>
      </w:r>
      <w:r>
        <w:rPr>
          <w:spacing w:val="76"/>
          <w:w w:val="150"/>
          <w:sz w:val="24"/>
        </w:rPr>
        <w:t> </w:t>
      </w:r>
      <w:r>
        <w:rPr>
          <w:sz w:val="24"/>
        </w:rPr>
        <w:t>спровођења</w:t>
      </w:r>
      <w:r>
        <w:rPr>
          <w:spacing w:val="76"/>
          <w:w w:val="150"/>
          <w:sz w:val="24"/>
        </w:rPr>
        <w:t> </w:t>
      </w:r>
      <w:r>
        <w:rPr>
          <w:sz w:val="24"/>
        </w:rPr>
        <w:t>политике</w:t>
      </w:r>
      <w:r>
        <w:rPr>
          <w:spacing w:val="74"/>
          <w:w w:val="150"/>
          <w:sz w:val="24"/>
        </w:rPr>
        <w:t> </w:t>
      </w:r>
      <w:r>
        <w:rPr>
          <w:sz w:val="24"/>
        </w:rPr>
        <w:t>запошљавања,</w:t>
      </w:r>
      <w:r>
        <w:rPr>
          <w:spacing w:val="75"/>
          <w:w w:val="150"/>
          <w:sz w:val="24"/>
        </w:rPr>
        <w:t> </w:t>
      </w:r>
      <w:r>
        <w:rPr>
          <w:sz w:val="24"/>
        </w:rPr>
        <w:t>док</w:t>
      </w:r>
      <w:r>
        <w:rPr>
          <w:spacing w:val="80"/>
          <w:w w:val="150"/>
          <w:sz w:val="24"/>
        </w:rPr>
        <w:t> </w:t>
      </w:r>
      <w:r>
        <w:rPr>
          <w:sz w:val="24"/>
        </w:rPr>
        <w:t>је</w:t>
      </w:r>
      <w:r>
        <w:rPr>
          <w:spacing w:val="74"/>
          <w:w w:val="150"/>
          <w:sz w:val="24"/>
        </w:rPr>
        <w:t> </w:t>
      </w:r>
      <w:r>
        <w:rPr>
          <w:sz w:val="24"/>
        </w:rPr>
        <w:t>НСЗ</w:t>
      </w:r>
      <w:r>
        <w:rPr>
          <w:spacing w:val="77"/>
          <w:w w:val="150"/>
          <w:sz w:val="24"/>
        </w:rPr>
        <w:t> </w:t>
      </w:r>
      <w:r>
        <w:rPr>
          <w:sz w:val="24"/>
        </w:rPr>
        <w:t>носилац</w:t>
      </w:r>
      <w:r>
        <w:rPr>
          <w:spacing w:val="76"/>
          <w:w w:val="150"/>
          <w:sz w:val="24"/>
        </w:rPr>
        <w:t> </w:t>
      </w:r>
      <w:r>
        <w:rPr>
          <w:sz w:val="24"/>
        </w:rPr>
        <w:t>функције</w:t>
      </w:r>
    </w:p>
    <w:p>
      <w:pPr>
        <w:pStyle w:val="ListParagraph"/>
        <w:spacing w:after="0" w:line="240" w:lineRule="auto"/>
        <w:jc w:val="both"/>
        <w:rPr>
          <w:sz w:val="24"/>
        </w:rPr>
        <w:sectPr>
          <w:type w:val="continuous"/>
          <w:pgSz w:w="12240" w:h="15840"/>
          <w:pgMar w:header="0" w:footer="702" w:top="1420" w:bottom="900" w:left="1080" w:right="720"/>
        </w:sectPr>
      </w:pPr>
    </w:p>
    <w:p>
      <w:pPr>
        <w:pStyle w:val="BodyText"/>
        <w:spacing w:before="72"/>
        <w:ind w:left="1073" w:right="720"/>
      </w:pPr>
      <w:r>
        <w:rPr/>
        <w:t>спровођења политике запошљавања; унапређење мера АПЗ се одвија уз постојећи институционални оквир; постепени раст издвајања финансијских средства за мере </w:t>
      </w:r>
      <w:r>
        <w:rPr>
          <w:spacing w:val="-4"/>
        </w:rPr>
        <w:t>АПЗ.</w:t>
      </w:r>
    </w:p>
    <w:p>
      <w:pPr>
        <w:pStyle w:val="ListParagraph"/>
        <w:numPr>
          <w:ilvl w:val="0"/>
          <w:numId w:val="5"/>
        </w:numPr>
        <w:tabs>
          <w:tab w:pos="1071" w:val="left" w:leader="none"/>
          <w:tab w:pos="1073" w:val="left" w:leader="none"/>
        </w:tabs>
        <w:spacing w:line="240" w:lineRule="auto" w:before="120" w:after="0"/>
        <w:ind w:left="1073" w:right="713" w:hanging="356"/>
        <w:jc w:val="both"/>
        <w:rPr>
          <w:sz w:val="24"/>
        </w:rPr>
      </w:pPr>
      <w:r>
        <w:rPr>
          <w:sz w:val="24"/>
        </w:rPr>
        <w:t>Опција </w:t>
      </w:r>
      <w:r>
        <w:rPr>
          <w:b/>
          <w:sz w:val="24"/>
        </w:rPr>
        <w:t>секторске стратегије уз унапређење институционалног оквира. </w:t>
      </w:r>
      <w:r>
        <w:rPr>
          <w:sz w:val="24"/>
        </w:rPr>
        <w:t>Стратегија би обухватила измене или допуне постојећих или доношење нових прописа којима би се на свеобухватан начин уредиле области од значаја за рад, запошљавање, професионалну рехабилитацију ОСИ, социјално предузетништво и др. Истовремено ова опција подразумева и ојачане капацитете актера на тржишту рада, органа надлежних за креирање политике запошљавања, носилаца послова запошљавања и др.</w:t>
      </w:r>
    </w:p>
    <w:p>
      <w:pPr>
        <w:pStyle w:val="ListParagraph"/>
        <w:numPr>
          <w:ilvl w:val="0"/>
          <w:numId w:val="5"/>
        </w:numPr>
        <w:tabs>
          <w:tab w:pos="1080" w:val="left" w:leader="none"/>
        </w:tabs>
        <w:spacing w:line="240" w:lineRule="auto" w:before="121" w:after="0"/>
        <w:ind w:left="1080" w:right="721" w:hanging="360"/>
        <w:jc w:val="both"/>
        <w:rPr>
          <w:sz w:val="24"/>
        </w:rPr>
      </w:pPr>
      <w:r>
        <w:rPr>
          <w:sz w:val="24"/>
        </w:rPr>
        <w:t>Опција </w:t>
      </w:r>
      <w:r>
        <w:rPr>
          <w:b/>
          <w:sz w:val="24"/>
        </w:rPr>
        <w:t>међусекторске стратегије </w:t>
      </w:r>
      <w:r>
        <w:rPr>
          <w:sz w:val="24"/>
        </w:rPr>
        <w:t>- </w:t>
      </w:r>
      <w:r>
        <w:rPr>
          <w:b/>
          <w:sz w:val="24"/>
        </w:rPr>
        <w:t>пуна координација политике запошљавања са другим секторским политикама. </w:t>
      </w:r>
      <w:r>
        <w:rPr>
          <w:sz w:val="24"/>
        </w:rPr>
        <w:t>Опција подразумева реформске кораке које треба предузети да би се успешно развијало ефикасно тржиште рада у Србији у складу</w:t>
      </w:r>
      <w:r>
        <w:rPr>
          <w:spacing w:val="-4"/>
          <w:sz w:val="24"/>
        </w:rPr>
        <w:t> </w:t>
      </w:r>
      <w:r>
        <w:rPr>
          <w:sz w:val="24"/>
        </w:rPr>
        <w:t>са осталим развојним</w:t>
      </w:r>
      <w:r>
        <w:rPr>
          <w:spacing w:val="-2"/>
          <w:sz w:val="24"/>
        </w:rPr>
        <w:t> </w:t>
      </w:r>
      <w:r>
        <w:rPr>
          <w:sz w:val="24"/>
        </w:rPr>
        <w:t>циљевима земље. Ова опција предвиђа све активности опције 2. уз реформске правце и у образовној, пореској, политици регионалног развоја, социјалној и другим релевантним политикама.</w:t>
      </w:r>
    </w:p>
    <w:p>
      <w:pPr>
        <w:pStyle w:val="BodyText"/>
        <w:spacing w:before="120"/>
        <w:ind w:right="724" w:firstLine="719"/>
      </w:pPr>
      <w:r>
        <w:rPr/>
        <w:t>У поређењу опција, коришћена је метода вишекритеријумске анализе уз следеће критеријуме за оцену опција:</w:t>
      </w:r>
    </w:p>
    <w:p>
      <w:pPr>
        <w:pStyle w:val="ListParagraph"/>
        <w:numPr>
          <w:ilvl w:val="1"/>
          <w:numId w:val="5"/>
        </w:numPr>
        <w:tabs>
          <w:tab w:pos="1071" w:val="left" w:leader="none"/>
          <w:tab w:pos="1073" w:val="left" w:leader="none"/>
        </w:tabs>
        <w:spacing w:line="240" w:lineRule="auto" w:before="120" w:after="0"/>
        <w:ind w:left="1073" w:right="721" w:hanging="356"/>
        <w:jc w:val="both"/>
        <w:rPr>
          <w:sz w:val="24"/>
        </w:rPr>
      </w:pPr>
      <w:r>
        <w:rPr>
          <w:sz w:val="24"/>
        </w:rPr>
        <w:t>Ефикасност у достизању циљева - сагледава комбинацију времена и трошкова са једне стране и квалитет постигнутог резултата са друге стране;</w:t>
      </w:r>
    </w:p>
    <w:p>
      <w:pPr>
        <w:pStyle w:val="ListParagraph"/>
        <w:numPr>
          <w:ilvl w:val="1"/>
          <w:numId w:val="5"/>
        </w:numPr>
        <w:tabs>
          <w:tab w:pos="1071" w:val="left" w:leader="none"/>
          <w:tab w:pos="1073" w:val="left" w:leader="none"/>
        </w:tabs>
        <w:spacing w:line="240" w:lineRule="auto" w:before="1" w:after="0"/>
        <w:ind w:left="1073" w:right="720" w:hanging="356"/>
        <w:jc w:val="both"/>
        <w:rPr>
          <w:sz w:val="24"/>
        </w:rPr>
      </w:pPr>
      <w:r>
        <w:rPr>
          <w:sz w:val="24"/>
        </w:rPr>
        <w:t>Ефективност у достизању циљева - да ли се раде праве ствари односно да ли би примена одређене опције довела до задовољавајућег степена реализације постављених циљева;</w:t>
      </w:r>
    </w:p>
    <w:p>
      <w:pPr>
        <w:pStyle w:val="ListParagraph"/>
        <w:numPr>
          <w:ilvl w:val="1"/>
          <w:numId w:val="5"/>
        </w:numPr>
        <w:tabs>
          <w:tab w:pos="1071" w:val="left" w:leader="none"/>
          <w:tab w:pos="1073" w:val="left" w:leader="none"/>
        </w:tabs>
        <w:spacing w:line="240" w:lineRule="auto" w:before="0" w:after="0"/>
        <w:ind w:left="1073" w:right="711" w:hanging="356"/>
        <w:jc w:val="both"/>
        <w:rPr>
          <w:sz w:val="24"/>
        </w:rPr>
      </w:pPr>
      <w:r>
        <w:rPr>
          <w:sz w:val="24"/>
        </w:rPr>
        <w:t>Трошкови</w:t>
      </w:r>
      <w:r>
        <w:rPr>
          <w:spacing w:val="-9"/>
          <w:sz w:val="24"/>
        </w:rPr>
        <w:t> </w:t>
      </w:r>
      <w:r>
        <w:rPr>
          <w:sz w:val="24"/>
        </w:rPr>
        <w:t>спровођења</w:t>
      </w:r>
      <w:r>
        <w:rPr>
          <w:spacing w:val="-10"/>
          <w:sz w:val="24"/>
        </w:rPr>
        <w:t> </w:t>
      </w:r>
      <w:r>
        <w:rPr>
          <w:sz w:val="24"/>
        </w:rPr>
        <w:t>опције</w:t>
      </w:r>
      <w:r>
        <w:rPr>
          <w:spacing w:val="-8"/>
          <w:sz w:val="24"/>
        </w:rPr>
        <w:t> </w:t>
      </w:r>
      <w:r>
        <w:rPr>
          <w:sz w:val="24"/>
        </w:rPr>
        <w:t>-</w:t>
      </w:r>
      <w:r>
        <w:rPr>
          <w:spacing w:val="-10"/>
          <w:sz w:val="24"/>
        </w:rPr>
        <w:t> </w:t>
      </w:r>
      <w:r>
        <w:rPr>
          <w:sz w:val="24"/>
        </w:rPr>
        <w:t>сагледава</w:t>
      </w:r>
      <w:r>
        <w:rPr>
          <w:spacing w:val="-11"/>
          <w:sz w:val="24"/>
        </w:rPr>
        <w:t> </w:t>
      </w:r>
      <w:r>
        <w:rPr>
          <w:sz w:val="24"/>
        </w:rPr>
        <w:t>висину</w:t>
      </w:r>
      <w:r>
        <w:rPr>
          <w:spacing w:val="-12"/>
          <w:sz w:val="24"/>
        </w:rPr>
        <w:t> </w:t>
      </w:r>
      <w:r>
        <w:rPr>
          <w:sz w:val="24"/>
        </w:rPr>
        <w:t>уложених</w:t>
      </w:r>
      <w:r>
        <w:rPr>
          <w:spacing w:val="-7"/>
          <w:sz w:val="24"/>
        </w:rPr>
        <w:t> </w:t>
      </w:r>
      <w:r>
        <w:rPr>
          <w:sz w:val="24"/>
        </w:rPr>
        <w:t>средстава</w:t>
      </w:r>
      <w:r>
        <w:rPr>
          <w:spacing w:val="-10"/>
          <w:sz w:val="24"/>
        </w:rPr>
        <w:t> </w:t>
      </w:r>
      <w:r>
        <w:rPr>
          <w:sz w:val="24"/>
        </w:rPr>
        <w:t>за</w:t>
      </w:r>
      <w:r>
        <w:rPr>
          <w:spacing w:val="-10"/>
          <w:sz w:val="24"/>
        </w:rPr>
        <w:t> </w:t>
      </w:r>
      <w:r>
        <w:rPr>
          <w:sz w:val="24"/>
        </w:rPr>
        <w:t>реализацију постављених циљева;</w:t>
      </w:r>
    </w:p>
    <w:p>
      <w:pPr>
        <w:pStyle w:val="ListParagraph"/>
        <w:numPr>
          <w:ilvl w:val="1"/>
          <w:numId w:val="5"/>
        </w:numPr>
        <w:tabs>
          <w:tab w:pos="1071" w:val="left" w:leader="none"/>
          <w:tab w:pos="1073" w:val="left" w:leader="none"/>
        </w:tabs>
        <w:spacing w:line="240" w:lineRule="auto" w:before="0" w:after="0"/>
        <w:ind w:left="1073" w:right="718" w:hanging="356"/>
        <w:jc w:val="both"/>
        <w:rPr>
          <w:sz w:val="24"/>
        </w:rPr>
      </w:pPr>
      <w:r>
        <w:rPr>
          <w:sz w:val="24"/>
        </w:rPr>
        <w:t>Капацитет за спровођење опције - материјални и људски ресурси неопходни за примену предложених опција;</w:t>
      </w:r>
    </w:p>
    <w:p>
      <w:pPr>
        <w:pStyle w:val="ListParagraph"/>
        <w:numPr>
          <w:ilvl w:val="1"/>
          <w:numId w:val="5"/>
        </w:numPr>
        <w:tabs>
          <w:tab w:pos="1080" w:val="left" w:leader="none"/>
        </w:tabs>
        <w:spacing w:line="240" w:lineRule="auto" w:before="0" w:after="0"/>
        <w:ind w:left="1080" w:right="720" w:hanging="360"/>
        <w:jc w:val="both"/>
        <w:rPr>
          <w:sz w:val="24"/>
        </w:rPr>
      </w:pPr>
      <w:r>
        <w:rPr>
          <w:sz w:val="24"/>
        </w:rPr>
        <w:t>Одрживост</w:t>
      </w:r>
      <w:r>
        <w:rPr>
          <w:spacing w:val="-15"/>
          <w:sz w:val="24"/>
        </w:rPr>
        <w:t> </w:t>
      </w:r>
      <w:r>
        <w:rPr>
          <w:sz w:val="24"/>
        </w:rPr>
        <w:t>опције</w:t>
      </w:r>
      <w:r>
        <w:rPr>
          <w:spacing w:val="-15"/>
          <w:sz w:val="24"/>
        </w:rPr>
        <w:t> </w:t>
      </w:r>
      <w:r>
        <w:rPr>
          <w:sz w:val="24"/>
        </w:rPr>
        <w:t>-</w:t>
      </w:r>
      <w:r>
        <w:rPr>
          <w:spacing w:val="-15"/>
          <w:sz w:val="24"/>
        </w:rPr>
        <w:t> </w:t>
      </w:r>
      <w:r>
        <w:rPr>
          <w:sz w:val="24"/>
        </w:rPr>
        <w:t>колико</w:t>
      </w:r>
      <w:r>
        <w:rPr>
          <w:spacing w:val="-15"/>
          <w:sz w:val="24"/>
        </w:rPr>
        <w:t> </w:t>
      </w:r>
      <w:r>
        <w:rPr>
          <w:sz w:val="24"/>
        </w:rPr>
        <w:t>опција</w:t>
      </w:r>
      <w:r>
        <w:rPr>
          <w:spacing w:val="-15"/>
          <w:sz w:val="24"/>
        </w:rPr>
        <w:t> </w:t>
      </w:r>
      <w:r>
        <w:rPr>
          <w:sz w:val="24"/>
        </w:rPr>
        <w:t>доприноси</w:t>
      </w:r>
      <w:r>
        <w:rPr>
          <w:spacing w:val="-15"/>
          <w:sz w:val="24"/>
        </w:rPr>
        <w:t> </w:t>
      </w:r>
      <w:r>
        <w:rPr>
          <w:sz w:val="24"/>
        </w:rPr>
        <w:t>решавању</w:t>
      </w:r>
      <w:r>
        <w:rPr>
          <w:spacing w:val="-15"/>
          <w:sz w:val="24"/>
        </w:rPr>
        <w:t> </w:t>
      </w:r>
      <w:r>
        <w:rPr>
          <w:sz w:val="24"/>
        </w:rPr>
        <w:t>идентификованих</w:t>
      </w:r>
      <w:r>
        <w:rPr>
          <w:spacing w:val="-15"/>
          <w:sz w:val="24"/>
        </w:rPr>
        <w:t> </w:t>
      </w:r>
      <w:r>
        <w:rPr>
          <w:sz w:val="24"/>
        </w:rPr>
        <w:t>проблема тржишта рада и последично колико доприноси расту и развоју Србије.</w:t>
      </w:r>
    </w:p>
    <w:p>
      <w:pPr>
        <w:pStyle w:val="BodyText"/>
        <w:spacing w:before="122"/>
        <w:ind w:left="1697"/>
      </w:pPr>
      <w:r>
        <w:rPr/>
        <w:t>Табела</w:t>
      </w:r>
      <w:r>
        <w:rPr>
          <w:spacing w:val="-5"/>
        </w:rPr>
        <w:t> </w:t>
      </w:r>
      <w:r>
        <w:rPr/>
        <w:t>12.</w:t>
      </w:r>
      <w:r>
        <w:rPr>
          <w:spacing w:val="59"/>
        </w:rPr>
        <w:t> </w:t>
      </w:r>
      <w:r>
        <w:rPr/>
        <w:t>Поређење</w:t>
      </w:r>
      <w:r>
        <w:rPr>
          <w:spacing w:val="-3"/>
        </w:rPr>
        <w:t> </w:t>
      </w:r>
      <w:r>
        <w:rPr/>
        <w:t>опција</w:t>
      </w:r>
      <w:r>
        <w:rPr>
          <w:spacing w:val="-2"/>
        </w:rPr>
        <w:t> </w:t>
      </w:r>
      <w:r>
        <w:rPr/>
        <w:t>према</w:t>
      </w:r>
      <w:r>
        <w:rPr>
          <w:spacing w:val="-3"/>
        </w:rPr>
        <w:t> </w:t>
      </w:r>
      <w:r>
        <w:rPr/>
        <w:t>дефинисаним</w:t>
      </w:r>
      <w:r>
        <w:rPr>
          <w:spacing w:val="-2"/>
        </w:rPr>
        <w:t> критеријумима</w:t>
      </w:r>
    </w:p>
    <w:p>
      <w:pPr>
        <w:pStyle w:val="BodyText"/>
        <w:spacing w:before="3"/>
        <w:ind w:left="0"/>
        <w:jc w:val="left"/>
        <w:rPr>
          <w:sz w:val="13"/>
        </w:rPr>
      </w:pP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5"/>
        <w:gridCol w:w="2063"/>
        <w:gridCol w:w="2508"/>
        <w:gridCol w:w="1740"/>
      </w:tblGrid>
      <w:tr>
        <w:trPr>
          <w:trHeight w:val="230" w:hRule="atLeast"/>
        </w:trPr>
        <w:tc>
          <w:tcPr>
            <w:tcW w:w="2715" w:type="dxa"/>
            <w:tcBorders>
              <w:top w:val="single" w:sz="4" w:space="0" w:color="000000"/>
            </w:tcBorders>
          </w:tcPr>
          <w:p>
            <w:pPr>
              <w:pStyle w:val="TableParagraph"/>
              <w:rPr>
                <w:sz w:val="16"/>
              </w:rPr>
            </w:pPr>
          </w:p>
        </w:tc>
        <w:tc>
          <w:tcPr>
            <w:tcW w:w="2063" w:type="dxa"/>
            <w:tcBorders>
              <w:top w:val="single" w:sz="4" w:space="0" w:color="000000"/>
              <w:bottom w:val="single" w:sz="4" w:space="0" w:color="000000"/>
            </w:tcBorders>
          </w:tcPr>
          <w:p>
            <w:pPr>
              <w:pStyle w:val="TableParagraph"/>
              <w:rPr>
                <w:sz w:val="16"/>
              </w:rPr>
            </w:pPr>
          </w:p>
        </w:tc>
        <w:tc>
          <w:tcPr>
            <w:tcW w:w="2508" w:type="dxa"/>
            <w:tcBorders>
              <w:top w:val="single" w:sz="4" w:space="0" w:color="000000"/>
              <w:bottom w:val="single" w:sz="4" w:space="0" w:color="000000"/>
            </w:tcBorders>
          </w:tcPr>
          <w:p>
            <w:pPr>
              <w:pStyle w:val="TableParagraph"/>
              <w:spacing w:line="211" w:lineRule="exact"/>
              <w:ind w:left="526"/>
              <w:rPr>
                <w:sz w:val="20"/>
              </w:rPr>
            </w:pPr>
            <w:r>
              <w:rPr>
                <w:sz w:val="20"/>
              </w:rPr>
              <w:t>Назив</w:t>
            </w:r>
            <w:r>
              <w:rPr>
                <w:spacing w:val="-9"/>
                <w:sz w:val="20"/>
              </w:rPr>
              <w:t> </w:t>
            </w:r>
            <w:r>
              <w:rPr>
                <w:spacing w:val="-2"/>
                <w:sz w:val="20"/>
              </w:rPr>
              <w:t>опције</w:t>
            </w:r>
          </w:p>
        </w:tc>
        <w:tc>
          <w:tcPr>
            <w:tcW w:w="1740" w:type="dxa"/>
            <w:tcBorders>
              <w:top w:val="single" w:sz="4" w:space="0" w:color="000000"/>
              <w:bottom w:val="single" w:sz="4" w:space="0" w:color="000000"/>
            </w:tcBorders>
          </w:tcPr>
          <w:p>
            <w:pPr>
              <w:pStyle w:val="TableParagraph"/>
              <w:rPr>
                <w:sz w:val="16"/>
              </w:rPr>
            </w:pPr>
          </w:p>
        </w:tc>
      </w:tr>
      <w:tr>
        <w:trPr>
          <w:trHeight w:val="723" w:hRule="atLeast"/>
        </w:trPr>
        <w:tc>
          <w:tcPr>
            <w:tcW w:w="2715" w:type="dxa"/>
          </w:tcPr>
          <w:p>
            <w:pPr>
              <w:pStyle w:val="TableParagraph"/>
              <w:spacing w:before="103"/>
              <w:ind w:left="806"/>
              <w:rPr>
                <w:sz w:val="20"/>
              </w:rPr>
            </w:pPr>
            <w:r>
              <w:rPr>
                <w:spacing w:val="-2"/>
                <w:sz w:val="20"/>
              </w:rPr>
              <w:t>Критеријуми</w:t>
            </w:r>
          </w:p>
        </w:tc>
        <w:tc>
          <w:tcPr>
            <w:tcW w:w="2063" w:type="dxa"/>
            <w:tcBorders>
              <w:top w:val="single" w:sz="4" w:space="0" w:color="000000"/>
            </w:tcBorders>
          </w:tcPr>
          <w:p>
            <w:pPr>
              <w:pStyle w:val="TableParagraph"/>
              <w:spacing w:before="108"/>
              <w:ind w:left="153" w:right="141" w:firstLine="91"/>
              <w:rPr>
                <w:sz w:val="20"/>
              </w:rPr>
            </w:pPr>
            <w:r>
              <w:rPr>
                <w:sz w:val="20"/>
              </w:rPr>
              <w:t>1. </w:t>
            </w:r>
            <w:r>
              <w:rPr>
                <w:i/>
                <w:sz w:val="20"/>
              </w:rPr>
              <w:t>Status quo </w:t>
            </w:r>
            <w:r>
              <w:rPr>
                <w:sz w:val="20"/>
              </w:rPr>
              <w:t>- уска секторска</w:t>
            </w:r>
            <w:r>
              <w:rPr>
                <w:spacing w:val="-13"/>
                <w:sz w:val="20"/>
              </w:rPr>
              <w:t> </w:t>
            </w:r>
            <w:r>
              <w:rPr>
                <w:sz w:val="20"/>
              </w:rPr>
              <w:t>стратегија</w:t>
            </w:r>
          </w:p>
        </w:tc>
        <w:tc>
          <w:tcPr>
            <w:tcW w:w="2508" w:type="dxa"/>
            <w:tcBorders>
              <w:top w:val="single" w:sz="4" w:space="0" w:color="000000"/>
            </w:tcBorders>
          </w:tcPr>
          <w:p>
            <w:pPr>
              <w:pStyle w:val="TableParagraph"/>
              <w:ind w:left="762" w:hanging="613"/>
              <w:rPr>
                <w:sz w:val="20"/>
              </w:rPr>
            </w:pPr>
            <w:r>
              <w:rPr>
                <w:sz w:val="20"/>
              </w:rPr>
              <w:t>2.</w:t>
            </w:r>
            <w:r>
              <w:rPr>
                <w:spacing w:val="-13"/>
                <w:sz w:val="20"/>
              </w:rPr>
              <w:t> </w:t>
            </w:r>
            <w:r>
              <w:rPr>
                <w:sz w:val="20"/>
              </w:rPr>
              <w:t>Секторска</w:t>
            </w:r>
            <w:r>
              <w:rPr>
                <w:spacing w:val="-12"/>
                <w:sz w:val="20"/>
              </w:rPr>
              <w:t> </w:t>
            </w:r>
            <w:r>
              <w:rPr>
                <w:sz w:val="20"/>
              </w:rPr>
              <w:t>стратегија</w:t>
            </w:r>
            <w:r>
              <w:rPr>
                <w:spacing w:val="-13"/>
                <w:sz w:val="20"/>
              </w:rPr>
              <w:t> </w:t>
            </w:r>
            <w:r>
              <w:rPr>
                <w:sz w:val="20"/>
              </w:rPr>
              <w:t>уз </w:t>
            </w:r>
            <w:r>
              <w:rPr>
                <w:spacing w:val="-2"/>
                <w:sz w:val="20"/>
              </w:rPr>
              <w:t>унапређење</w:t>
            </w:r>
          </w:p>
          <w:p>
            <w:pPr>
              <w:pStyle w:val="TableParagraph"/>
              <w:tabs>
                <w:tab w:pos="4247" w:val="left" w:leader="none"/>
              </w:tabs>
              <w:ind w:left="-4764" w:right="-1743"/>
              <w:rPr>
                <w:sz w:val="20"/>
              </w:rPr>
            </w:pPr>
            <w:r>
              <w:rPr>
                <w:spacing w:val="79"/>
                <w:w w:val="150"/>
                <w:sz w:val="20"/>
                <w:u w:val="single"/>
              </w:rPr>
              <w:t>                                </w:t>
            </w:r>
            <w:r>
              <w:rPr>
                <w:spacing w:val="-2"/>
                <w:sz w:val="20"/>
                <w:u w:val="single"/>
              </w:rPr>
              <w:t>институционалног</w:t>
            </w:r>
            <w:r>
              <w:rPr>
                <w:spacing w:val="-1"/>
                <w:sz w:val="20"/>
                <w:u w:val="single"/>
              </w:rPr>
              <w:t> </w:t>
            </w:r>
            <w:r>
              <w:rPr>
                <w:spacing w:val="-2"/>
                <w:sz w:val="20"/>
                <w:u w:val="single"/>
              </w:rPr>
              <w:t>оквира</w:t>
            </w:r>
            <w:r>
              <w:rPr>
                <w:sz w:val="20"/>
                <w:u w:val="single"/>
              </w:rPr>
              <w:tab/>
            </w:r>
          </w:p>
        </w:tc>
        <w:tc>
          <w:tcPr>
            <w:tcW w:w="1740" w:type="dxa"/>
            <w:tcBorders>
              <w:top w:val="single" w:sz="4" w:space="0" w:color="000000"/>
            </w:tcBorders>
          </w:tcPr>
          <w:p>
            <w:pPr>
              <w:pStyle w:val="TableParagraph"/>
              <w:spacing w:before="108"/>
              <w:ind w:left="440" w:right="105" w:hanging="312"/>
              <w:rPr>
                <w:sz w:val="20"/>
              </w:rPr>
            </w:pPr>
            <w:r>
              <w:rPr>
                <w:sz w:val="20"/>
              </w:rPr>
              <w:t>3.</w:t>
            </w:r>
            <w:r>
              <w:rPr>
                <w:spacing w:val="-13"/>
                <w:sz w:val="20"/>
              </w:rPr>
              <w:t> </w:t>
            </w:r>
            <w:r>
              <w:rPr>
                <w:sz w:val="20"/>
              </w:rPr>
              <w:t>Међусекторска </w:t>
            </w:r>
            <w:r>
              <w:rPr>
                <w:spacing w:val="-2"/>
                <w:sz w:val="20"/>
              </w:rPr>
              <w:t>стратегија</w:t>
            </w:r>
          </w:p>
        </w:tc>
      </w:tr>
      <w:tr>
        <w:trPr>
          <w:trHeight w:val="557" w:hRule="atLeast"/>
        </w:trPr>
        <w:tc>
          <w:tcPr>
            <w:tcW w:w="2715" w:type="dxa"/>
          </w:tcPr>
          <w:p>
            <w:pPr>
              <w:pStyle w:val="TableParagraph"/>
              <w:spacing w:before="35"/>
              <w:ind w:left="122"/>
              <w:rPr>
                <w:b/>
                <w:sz w:val="20"/>
              </w:rPr>
            </w:pPr>
            <w:r>
              <w:rPr>
                <w:b/>
                <w:sz w:val="20"/>
              </w:rPr>
              <w:t>Ефикасност</w:t>
            </w:r>
            <w:r>
              <w:rPr>
                <w:b/>
                <w:spacing w:val="-13"/>
                <w:sz w:val="20"/>
              </w:rPr>
              <w:t> </w:t>
            </w:r>
            <w:r>
              <w:rPr>
                <w:b/>
                <w:sz w:val="20"/>
              </w:rPr>
              <w:t>у</w:t>
            </w:r>
            <w:r>
              <w:rPr>
                <w:b/>
                <w:spacing w:val="-12"/>
                <w:sz w:val="20"/>
              </w:rPr>
              <w:t> </w:t>
            </w:r>
            <w:r>
              <w:rPr>
                <w:b/>
                <w:sz w:val="20"/>
              </w:rPr>
              <w:t>достизању </w:t>
            </w:r>
            <w:r>
              <w:rPr>
                <w:b/>
                <w:spacing w:val="-2"/>
                <w:sz w:val="20"/>
              </w:rPr>
              <w:t>циљева</w:t>
            </w:r>
          </w:p>
        </w:tc>
        <w:tc>
          <w:tcPr>
            <w:tcW w:w="2063" w:type="dxa"/>
          </w:tcPr>
          <w:p>
            <w:pPr>
              <w:pStyle w:val="TableParagraph"/>
              <w:spacing w:before="30"/>
              <w:ind w:left="4"/>
              <w:jc w:val="center"/>
              <w:rPr>
                <w:sz w:val="20"/>
              </w:rPr>
            </w:pPr>
            <w:r>
              <w:rPr>
                <w:spacing w:val="-10"/>
                <w:sz w:val="20"/>
              </w:rPr>
              <w:t>1</w:t>
            </w:r>
          </w:p>
        </w:tc>
        <w:tc>
          <w:tcPr>
            <w:tcW w:w="2508" w:type="dxa"/>
          </w:tcPr>
          <w:p>
            <w:pPr>
              <w:pStyle w:val="TableParagraph"/>
              <w:spacing w:before="30"/>
              <w:ind w:left="23"/>
              <w:jc w:val="center"/>
              <w:rPr>
                <w:sz w:val="20"/>
              </w:rPr>
            </w:pPr>
            <w:r>
              <w:rPr>
                <w:spacing w:val="-10"/>
                <w:sz w:val="20"/>
              </w:rPr>
              <w:t>3</w:t>
            </w:r>
          </w:p>
        </w:tc>
        <w:tc>
          <w:tcPr>
            <w:tcW w:w="1740" w:type="dxa"/>
          </w:tcPr>
          <w:p>
            <w:pPr>
              <w:pStyle w:val="TableParagraph"/>
              <w:spacing w:before="30"/>
              <w:ind w:left="13"/>
              <w:jc w:val="center"/>
              <w:rPr>
                <w:sz w:val="20"/>
              </w:rPr>
            </w:pPr>
            <w:r>
              <w:rPr>
                <w:spacing w:val="-10"/>
                <w:sz w:val="20"/>
              </w:rPr>
              <w:t>5</w:t>
            </w:r>
          </w:p>
        </w:tc>
      </w:tr>
      <w:tr>
        <w:trPr>
          <w:trHeight w:val="578" w:hRule="atLeast"/>
        </w:trPr>
        <w:tc>
          <w:tcPr>
            <w:tcW w:w="2715" w:type="dxa"/>
          </w:tcPr>
          <w:p>
            <w:pPr>
              <w:pStyle w:val="TableParagraph"/>
              <w:spacing w:before="58"/>
              <w:ind w:left="122"/>
              <w:rPr>
                <w:b/>
                <w:sz w:val="20"/>
              </w:rPr>
            </w:pPr>
            <w:r>
              <w:rPr>
                <w:b/>
                <w:sz w:val="20"/>
              </w:rPr>
              <w:t>Ефективност</w:t>
            </w:r>
            <w:r>
              <w:rPr>
                <w:b/>
                <w:spacing w:val="-13"/>
                <w:sz w:val="20"/>
              </w:rPr>
              <w:t> </w:t>
            </w:r>
            <w:r>
              <w:rPr>
                <w:b/>
                <w:sz w:val="20"/>
              </w:rPr>
              <w:t>у</w:t>
            </w:r>
            <w:r>
              <w:rPr>
                <w:b/>
                <w:spacing w:val="-12"/>
                <w:sz w:val="20"/>
              </w:rPr>
              <w:t> </w:t>
            </w:r>
            <w:r>
              <w:rPr>
                <w:b/>
                <w:sz w:val="20"/>
              </w:rPr>
              <w:t>достизању </w:t>
            </w:r>
            <w:r>
              <w:rPr>
                <w:b/>
                <w:spacing w:val="-2"/>
                <w:sz w:val="20"/>
              </w:rPr>
              <w:t>циљева</w:t>
            </w:r>
          </w:p>
        </w:tc>
        <w:tc>
          <w:tcPr>
            <w:tcW w:w="2063" w:type="dxa"/>
          </w:tcPr>
          <w:p>
            <w:pPr>
              <w:pStyle w:val="TableParagraph"/>
              <w:spacing w:before="53"/>
              <w:ind w:left="4"/>
              <w:jc w:val="center"/>
              <w:rPr>
                <w:sz w:val="20"/>
              </w:rPr>
            </w:pPr>
            <w:r>
              <w:rPr>
                <w:spacing w:val="-10"/>
                <w:sz w:val="20"/>
              </w:rPr>
              <w:t>1</w:t>
            </w:r>
          </w:p>
        </w:tc>
        <w:tc>
          <w:tcPr>
            <w:tcW w:w="2508" w:type="dxa"/>
          </w:tcPr>
          <w:p>
            <w:pPr>
              <w:pStyle w:val="TableParagraph"/>
              <w:spacing w:before="53"/>
              <w:ind w:left="23"/>
              <w:jc w:val="center"/>
              <w:rPr>
                <w:sz w:val="20"/>
              </w:rPr>
            </w:pPr>
            <w:r>
              <w:rPr>
                <w:spacing w:val="-10"/>
                <w:sz w:val="20"/>
              </w:rPr>
              <w:t>2</w:t>
            </w:r>
          </w:p>
        </w:tc>
        <w:tc>
          <w:tcPr>
            <w:tcW w:w="1740" w:type="dxa"/>
          </w:tcPr>
          <w:p>
            <w:pPr>
              <w:pStyle w:val="TableParagraph"/>
              <w:spacing w:before="53"/>
              <w:ind w:left="13"/>
              <w:jc w:val="center"/>
              <w:rPr>
                <w:sz w:val="20"/>
              </w:rPr>
            </w:pPr>
            <w:r>
              <w:rPr>
                <w:spacing w:val="-10"/>
                <w:sz w:val="20"/>
              </w:rPr>
              <w:t>5</w:t>
            </w:r>
          </w:p>
        </w:tc>
      </w:tr>
      <w:tr>
        <w:trPr>
          <w:trHeight w:val="580" w:hRule="atLeast"/>
        </w:trPr>
        <w:tc>
          <w:tcPr>
            <w:tcW w:w="2715" w:type="dxa"/>
          </w:tcPr>
          <w:p>
            <w:pPr>
              <w:pStyle w:val="TableParagraph"/>
              <w:spacing w:before="58"/>
              <w:ind w:left="122" w:right="505"/>
              <w:rPr>
                <w:b/>
                <w:sz w:val="20"/>
              </w:rPr>
            </w:pPr>
            <w:r>
              <w:rPr>
                <w:b/>
                <w:sz w:val="20"/>
              </w:rPr>
              <w:t>Трошкови</w:t>
            </w:r>
            <w:r>
              <w:rPr>
                <w:b/>
                <w:spacing w:val="-13"/>
                <w:sz w:val="20"/>
              </w:rPr>
              <w:t> </w:t>
            </w:r>
            <w:r>
              <w:rPr>
                <w:b/>
                <w:sz w:val="20"/>
              </w:rPr>
              <w:t>спровођења </w:t>
            </w:r>
            <w:r>
              <w:rPr>
                <w:b/>
                <w:spacing w:val="-2"/>
                <w:sz w:val="20"/>
              </w:rPr>
              <w:t>опције</w:t>
            </w:r>
          </w:p>
        </w:tc>
        <w:tc>
          <w:tcPr>
            <w:tcW w:w="2063" w:type="dxa"/>
          </w:tcPr>
          <w:p>
            <w:pPr>
              <w:pStyle w:val="TableParagraph"/>
              <w:spacing w:before="53"/>
              <w:ind w:left="4"/>
              <w:jc w:val="center"/>
              <w:rPr>
                <w:sz w:val="20"/>
              </w:rPr>
            </w:pPr>
            <w:r>
              <w:rPr>
                <w:spacing w:val="-10"/>
                <w:sz w:val="20"/>
              </w:rPr>
              <w:t>5</w:t>
            </w:r>
          </w:p>
        </w:tc>
        <w:tc>
          <w:tcPr>
            <w:tcW w:w="2508" w:type="dxa"/>
          </w:tcPr>
          <w:p>
            <w:pPr>
              <w:pStyle w:val="TableParagraph"/>
              <w:spacing w:before="53"/>
              <w:ind w:left="23"/>
              <w:jc w:val="center"/>
              <w:rPr>
                <w:sz w:val="20"/>
              </w:rPr>
            </w:pPr>
            <w:r>
              <w:rPr>
                <w:spacing w:val="-10"/>
                <w:sz w:val="20"/>
              </w:rPr>
              <w:t>2</w:t>
            </w:r>
          </w:p>
        </w:tc>
        <w:tc>
          <w:tcPr>
            <w:tcW w:w="1740" w:type="dxa"/>
          </w:tcPr>
          <w:p>
            <w:pPr>
              <w:pStyle w:val="TableParagraph"/>
              <w:spacing w:before="53"/>
              <w:ind w:left="13"/>
              <w:jc w:val="center"/>
              <w:rPr>
                <w:sz w:val="20"/>
              </w:rPr>
            </w:pPr>
            <w:r>
              <w:rPr>
                <w:spacing w:val="-10"/>
                <w:sz w:val="20"/>
              </w:rPr>
              <w:t>1</w:t>
            </w:r>
          </w:p>
        </w:tc>
      </w:tr>
      <w:tr>
        <w:trPr>
          <w:trHeight w:val="581" w:hRule="atLeast"/>
        </w:trPr>
        <w:tc>
          <w:tcPr>
            <w:tcW w:w="2715" w:type="dxa"/>
          </w:tcPr>
          <w:p>
            <w:pPr>
              <w:pStyle w:val="TableParagraph"/>
              <w:spacing w:before="58"/>
              <w:ind w:left="122"/>
              <w:rPr>
                <w:b/>
                <w:sz w:val="20"/>
              </w:rPr>
            </w:pPr>
            <w:r>
              <w:rPr>
                <w:b/>
                <w:sz w:val="20"/>
              </w:rPr>
              <w:t>Капацитет</w:t>
            </w:r>
            <w:r>
              <w:rPr>
                <w:b/>
                <w:spacing w:val="-13"/>
                <w:sz w:val="20"/>
              </w:rPr>
              <w:t> </w:t>
            </w:r>
            <w:r>
              <w:rPr>
                <w:b/>
                <w:sz w:val="20"/>
              </w:rPr>
              <w:t>за</w:t>
            </w:r>
            <w:r>
              <w:rPr>
                <w:b/>
                <w:spacing w:val="-12"/>
                <w:sz w:val="20"/>
              </w:rPr>
              <w:t> </w:t>
            </w:r>
            <w:r>
              <w:rPr>
                <w:b/>
                <w:sz w:val="20"/>
              </w:rPr>
              <w:t>спровођење </w:t>
            </w:r>
            <w:r>
              <w:rPr>
                <w:b/>
                <w:spacing w:val="-2"/>
                <w:sz w:val="20"/>
              </w:rPr>
              <w:t>опције</w:t>
            </w:r>
          </w:p>
        </w:tc>
        <w:tc>
          <w:tcPr>
            <w:tcW w:w="2063" w:type="dxa"/>
          </w:tcPr>
          <w:p>
            <w:pPr>
              <w:pStyle w:val="TableParagraph"/>
              <w:spacing w:before="53"/>
              <w:ind w:left="4"/>
              <w:jc w:val="center"/>
              <w:rPr>
                <w:sz w:val="20"/>
              </w:rPr>
            </w:pPr>
            <w:r>
              <w:rPr>
                <w:spacing w:val="-10"/>
                <w:sz w:val="20"/>
              </w:rPr>
              <w:t>5</w:t>
            </w:r>
          </w:p>
        </w:tc>
        <w:tc>
          <w:tcPr>
            <w:tcW w:w="2508" w:type="dxa"/>
          </w:tcPr>
          <w:p>
            <w:pPr>
              <w:pStyle w:val="TableParagraph"/>
              <w:spacing w:before="53"/>
              <w:ind w:left="23"/>
              <w:jc w:val="center"/>
              <w:rPr>
                <w:sz w:val="20"/>
              </w:rPr>
            </w:pPr>
            <w:r>
              <w:rPr>
                <w:spacing w:val="-10"/>
                <w:sz w:val="20"/>
              </w:rPr>
              <w:t>3</w:t>
            </w:r>
          </w:p>
        </w:tc>
        <w:tc>
          <w:tcPr>
            <w:tcW w:w="1740" w:type="dxa"/>
          </w:tcPr>
          <w:p>
            <w:pPr>
              <w:pStyle w:val="TableParagraph"/>
              <w:spacing w:before="53"/>
              <w:ind w:left="13"/>
              <w:jc w:val="center"/>
              <w:rPr>
                <w:sz w:val="20"/>
              </w:rPr>
            </w:pPr>
            <w:r>
              <w:rPr>
                <w:spacing w:val="-10"/>
                <w:sz w:val="20"/>
              </w:rPr>
              <w:t>2</w:t>
            </w:r>
          </w:p>
        </w:tc>
      </w:tr>
      <w:tr>
        <w:trPr>
          <w:trHeight w:val="350" w:hRule="atLeast"/>
        </w:trPr>
        <w:tc>
          <w:tcPr>
            <w:tcW w:w="2715" w:type="dxa"/>
            <w:tcBorders>
              <w:bottom w:val="single" w:sz="4" w:space="0" w:color="000000"/>
            </w:tcBorders>
          </w:tcPr>
          <w:p>
            <w:pPr>
              <w:pStyle w:val="TableParagraph"/>
              <w:spacing w:before="58"/>
              <w:ind w:left="122"/>
              <w:rPr>
                <w:b/>
                <w:sz w:val="20"/>
              </w:rPr>
            </w:pPr>
            <w:r>
              <w:rPr>
                <w:b/>
                <w:sz w:val="20"/>
              </w:rPr>
              <w:t>Одрживост</w:t>
            </w:r>
            <w:r>
              <w:rPr>
                <w:b/>
                <w:spacing w:val="-10"/>
                <w:sz w:val="20"/>
              </w:rPr>
              <w:t> </w:t>
            </w:r>
            <w:r>
              <w:rPr>
                <w:b/>
                <w:spacing w:val="-2"/>
                <w:sz w:val="20"/>
              </w:rPr>
              <w:t>опције</w:t>
            </w:r>
          </w:p>
        </w:tc>
        <w:tc>
          <w:tcPr>
            <w:tcW w:w="2063" w:type="dxa"/>
            <w:tcBorders>
              <w:bottom w:val="single" w:sz="4" w:space="0" w:color="000000"/>
            </w:tcBorders>
          </w:tcPr>
          <w:p>
            <w:pPr>
              <w:pStyle w:val="TableParagraph"/>
              <w:spacing w:before="53"/>
              <w:ind w:left="4"/>
              <w:jc w:val="center"/>
              <w:rPr>
                <w:sz w:val="20"/>
              </w:rPr>
            </w:pPr>
            <w:r>
              <w:rPr>
                <w:spacing w:val="-10"/>
                <w:sz w:val="20"/>
              </w:rPr>
              <w:t>1</w:t>
            </w:r>
          </w:p>
        </w:tc>
        <w:tc>
          <w:tcPr>
            <w:tcW w:w="2508" w:type="dxa"/>
            <w:tcBorders>
              <w:bottom w:val="single" w:sz="4" w:space="0" w:color="000000"/>
            </w:tcBorders>
          </w:tcPr>
          <w:p>
            <w:pPr>
              <w:pStyle w:val="TableParagraph"/>
              <w:spacing w:before="53"/>
              <w:ind w:left="23"/>
              <w:jc w:val="center"/>
              <w:rPr>
                <w:sz w:val="20"/>
              </w:rPr>
            </w:pPr>
            <w:r>
              <w:rPr>
                <w:spacing w:val="-10"/>
                <w:sz w:val="20"/>
              </w:rPr>
              <w:t>4</w:t>
            </w:r>
          </w:p>
        </w:tc>
        <w:tc>
          <w:tcPr>
            <w:tcW w:w="1740" w:type="dxa"/>
            <w:tcBorders>
              <w:bottom w:val="single" w:sz="4" w:space="0" w:color="000000"/>
            </w:tcBorders>
          </w:tcPr>
          <w:p>
            <w:pPr>
              <w:pStyle w:val="TableParagraph"/>
              <w:spacing w:before="53"/>
              <w:ind w:left="13"/>
              <w:jc w:val="center"/>
              <w:rPr>
                <w:sz w:val="20"/>
              </w:rPr>
            </w:pPr>
            <w:r>
              <w:rPr>
                <w:spacing w:val="-10"/>
                <w:sz w:val="20"/>
              </w:rPr>
              <w:t>5</w:t>
            </w:r>
          </w:p>
        </w:tc>
      </w:tr>
    </w:tbl>
    <w:p>
      <w:pPr>
        <w:pStyle w:val="TableParagraph"/>
        <w:spacing w:after="0"/>
        <w:jc w:val="center"/>
        <w:rPr>
          <w:sz w:val="20"/>
        </w:rPr>
        <w:sectPr>
          <w:pgSz w:w="12240" w:h="15840"/>
          <w:pgMar w:header="0" w:footer="702" w:top="1360" w:bottom="1514" w:left="1080" w:right="720"/>
        </w:sectPr>
      </w:pPr>
    </w:p>
    <w:tbl>
      <w:tblPr>
        <w:tblW w:w="0" w:type="auto"/>
        <w:jc w:val="lef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2"/>
        <w:gridCol w:w="2248"/>
        <w:gridCol w:w="2208"/>
        <w:gridCol w:w="1920"/>
      </w:tblGrid>
      <w:tr>
        <w:trPr>
          <w:trHeight w:val="458" w:hRule="atLeast"/>
        </w:trPr>
        <w:tc>
          <w:tcPr>
            <w:tcW w:w="2642" w:type="dxa"/>
            <w:tcBorders>
              <w:top w:val="single" w:sz="4" w:space="0" w:color="000000"/>
              <w:bottom w:val="single" w:sz="4" w:space="0" w:color="000000"/>
            </w:tcBorders>
          </w:tcPr>
          <w:p>
            <w:pPr>
              <w:pStyle w:val="TableParagraph"/>
              <w:spacing w:before="113"/>
              <w:ind w:left="67"/>
              <w:jc w:val="center"/>
              <w:rPr>
                <w:b/>
                <w:sz w:val="20"/>
              </w:rPr>
            </w:pPr>
            <w:r>
              <w:rPr>
                <w:b/>
                <w:spacing w:val="-2"/>
                <w:sz w:val="20"/>
              </w:rPr>
              <w:t>Оцена</w:t>
            </w:r>
          </w:p>
        </w:tc>
        <w:tc>
          <w:tcPr>
            <w:tcW w:w="2248" w:type="dxa"/>
            <w:tcBorders>
              <w:top w:val="single" w:sz="4" w:space="0" w:color="000000"/>
              <w:bottom w:val="single" w:sz="4" w:space="0" w:color="000000"/>
            </w:tcBorders>
          </w:tcPr>
          <w:p>
            <w:pPr>
              <w:pStyle w:val="TableParagraph"/>
              <w:spacing w:before="113"/>
              <w:ind w:right="45"/>
              <w:jc w:val="center"/>
              <w:rPr>
                <w:b/>
                <w:sz w:val="20"/>
              </w:rPr>
            </w:pPr>
            <w:r>
              <w:rPr>
                <w:b/>
                <w:spacing w:val="-5"/>
                <w:sz w:val="20"/>
              </w:rPr>
              <w:t>13</w:t>
            </w:r>
          </w:p>
        </w:tc>
        <w:tc>
          <w:tcPr>
            <w:tcW w:w="2208" w:type="dxa"/>
            <w:tcBorders>
              <w:top w:val="single" w:sz="4" w:space="0" w:color="000000"/>
              <w:bottom w:val="single" w:sz="4" w:space="0" w:color="000000"/>
            </w:tcBorders>
          </w:tcPr>
          <w:p>
            <w:pPr>
              <w:pStyle w:val="TableParagraph"/>
              <w:spacing w:before="113"/>
              <w:ind w:left="85"/>
              <w:jc w:val="center"/>
              <w:rPr>
                <w:b/>
                <w:sz w:val="20"/>
              </w:rPr>
            </w:pPr>
            <w:r>
              <w:rPr>
                <w:b/>
                <w:spacing w:val="-5"/>
                <w:sz w:val="20"/>
              </w:rPr>
              <w:t>14</w:t>
            </w:r>
          </w:p>
        </w:tc>
        <w:tc>
          <w:tcPr>
            <w:tcW w:w="1920" w:type="dxa"/>
            <w:tcBorders>
              <w:top w:val="single" w:sz="4" w:space="0" w:color="000000"/>
              <w:bottom w:val="single" w:sz="4" w:space="0" w:color="000000"/>
            </w:tcBorders>
          </w:tcPr>
          <w:p>
            <w:pPr>
              <w:pStyle w:val="TableParagraph"/>
              <w:spacing w:before="113"/>
              <w:ind w:left="201"/>
              <w:jc w:val="center"/>
              <w:rPr>
                <w:b/>
                <w:sz w:val="20"/>
              </w:rPr>
            </w:pPr>
            <w:r>
              <w:rPr>
                <w:b/>
                <w:spacing w:val="-5"/>
                <w:sz w:val="20"/>
              </w:rPr>
              <w:t>18</w:t>
            </w:r>
          </w:p>
        </w:tc>
      </w:tr>
    </w:tbl>
    <w:p>
      <w:pPr>
        <w:pStyle w:val="BodyText"/>
        <w:spacing w:before="132"/>
        <w:ind w:right="715" w:firstLine="719"/>
      </w:pPr>
      <w:r>
        <w:rPr/>
        <w:t>Сумирањем оцена (распон од 1 до 5, при чему је 5 највиша оцена), </w:t>
      </w:r>
      <w:r>
        <w:rPr>
          <w:b/>
        </w:rPr>
        <w:t>највећу оцену има опција 3. Међусекторска стратегија</w:t>
      </w:r>
      <w:r>
        <w:rPr/>
        <w:t>, за коју идентификујемо да је најефикаснија, најефективнија и најодрживија. Критеријуми по којима је ова опција лошије рангирана у односу</w:t>
      </w:r>
      <w:r>
        <w:rPr>
          <w:spacing w:val="-4"/>
        </w:rPr>
        <w:t> </w:t>
      </w:r>
      <w:r>
        <w:rPr/>
        <w:t>на</w:t>
      </w:r>
      <w:r>
        <w:rPr>
          <w:spacing w:val="-1"/>
        </w:rPr>
        <w:t> </w:t>
      </w:r>
      <w:r>
        <w:rPr/>
        <w:t>друге две, јесу</w:t>
      </w:r>
      <w:r>
        <w:rPr>
          <w:spacing w:val="-2"/>
        </w:rPr>
        <w:t> </w:t>
      </w:r>
      <w:r>
        <w:rPr/>
        <w:t>трошкови њеног спровођења</w:t>
      </w:r>
      <w:r>
        <w:rPr>
          <w:spacing w:val="-1"/>
        </w:rPr>
        <w:t> </w:t>
      </w:r>
      <w:r>
        <w:rPr/>
        <w:t>и капацитети за</w:t>
      </w:r>
      <w:r>
        <w:rPr>
          <w:spacing w:val="-3"/>
        </w:rPr>
        <w:t> </w:t>
      </w:r>
      <w:r>
        <w:rPr/>
        <w:t>спровођење</w:t>
      </w:r>
      <w:r>
        <w:rPr>
          <w:spacing w:val="-1"/>
        </w:rPr>
        <w:t> </w:t>
      </w:r>
      <w:r>
        <w:rPr/>
        <w:t>опције. Имајући у</w:t>
      </w:r>
      <w:r>
        <w:rPr>
          <w:spacing w:val="-7"/>
        </w:rPr>
        <w:t> </w:t>
      </w:r>
      <w:r>
        <w:rPr/>
        <w:t>виду</w:t>
      </w:r>
      <w:r>
        <w:rPr>
          <w:spacing w:val="-7"/>
        </w:rPr>
        <w:t> </w:t>
      </w:r>
      <w:r>
        <w:rPr/>
        <w:t>ефикасност,</w:t>
      </w:r>
      <w:r>
        <w:rPr>
          <w:spacing w:val="-2"/>
        </w:rPr>
        <w:t> </w:t>
      </w:r>
      <w:r>
        <w:rPr/>
        <w:t>ефективност,</w:t>
      </w:r>
      <w:r>
        <w:rPr>
          <w:spacing w:val="-2"/>
        </w:rPr>
        <w:t> </w:t>
      </w:r>
      <w:r>
        <w:rPr/>
        <w:t>али</w:t>
      </w:r>
      <w:r>
        <w:rPr>
          <w:spacing w:val="-2"/>
        </w:rPr>
        <w:t> </w:t>
      </w:r>
      <w:r>
        <w:rPr/>
        <w:t>и</w:t>
      </w:r>
      <w:r>
        <w:rPr>
          <w:spacing w:val="-2"/>
        </w:rPr>
        <w:t> </w:t>
      </w:r>
      <w:r>
        <w:rPr/>
        <w:t>одрживост,</w:t>
      </w:r>
      <w:r>
        <w:rPr>
          <w:spacing w:val="-2"/>
        </w:rPr>
        <w:t> </w:t>
      </w:r>
      <w:r>
        <w:rPr/>
        <w:t>као</w:t>
      </w:r>
      <w:r>
        <w:rPr>
          <w:spacing w:val="-2"/>
        </w:rPr>
        <w:t> </w:t>
      </w:r>
      <w:r>
        <w:rPr/>
        <w:t>и</w:t>
      </w:r>
      <w:r>
        <w:rPr>
          <w:spacing w:val="-2"/>
        </w:rPr>
        <w:t> </w:t>
      </w:r>
      <w:r>
        <w:rPr/>
        <w:t>чињеницу</w:t>
      </w:r>
      <w:r>
        <w:rPr>
          <w:spacing w:val="-10"/>
        </w:rPr>
        <w:t> </w:t>
      </w:r>
      <w:r>
        <w:rPr/>
        <w:t>да унапређени капацитети представљају важан ресурс за будуће деловање политике запошљавања, процењујемо да су користи имплементације ове опције веће од њених трошкова.</w:t>
      </w:r>
    </w:p>
    <w:p>
      <w:pPr>
        <w:pStyle w:val="BodyText"/>
        <w:ind w:left="0"/>
        <w:jc w:val="left"/>
      </w:pPr>
    </w:p>
    <w:p>
      <w:pPr>
        <w:pStyle w:val="BodyText"/>
        <w:spacing w:before="89"/>
        <w:ind w:left="0"/>
        <w:jc w:val="left"/>
      </w:pPr>
    </w:p>
    <w:p>
      <w:pPr>
        <w:pStyle w:val="Heading1"/>
        <w:numPr>
          <w:ilvl w:val="0"/>
          <w:numId w:val="1"/>
        </w:numPr>
        <w:tabs>
          <w:tab w:pos="1838" w:val="left" w:leader="none"/>
        </w:tabs>
        <w:spacing w:line="240" w:lineRule="auto" w:before="0" w:after="0"/>
        <w:ind w:left="1838" w:right="0" w:hanging="357"/>
        <w:jc w:val="left"/>
      </w:pPr>
      <w:r>
        <w:rPr/>
        <w:t>МЕРЕ</w:t>
      </w:r>
      <w:r>
        <w:rPr>
          <w:spacing w:val="-5"/>
        </w:rPr>
        <w:t> </w:t>
      </w:r>
      <w:r>
        <w:rPr/>
        <w:t>ЗА</w:t>
      </w:r>
      <w:r>
        <w:rPr>
          <w:spacing w:val="-3"/>
        </w:rPr>
        <w:t> </w:t>
      </w:r>
      <w:r>
        <w:rPr/>
        <w:t>ПОСТИЗАЊЕ</w:t>
      </w:r>
      <w:r>
        <w:rPr>
          <w:spacing w:val="-2"/>
        </w:rPr>
        <w:t> </w:t>
      </w:r>
      <w:r>
        <w:rPr/>
        <w:t>ОПШТЕГ</w:t>
      </w:r>
      <w:r>
        <w:rPr>
          <w:spacing w:val="-2"/>
        </w:rPr>
        <w:t> </w:t>
      </w:r>
      <w:r>
        <w:rPr/>
        <w:t>И</w:t>
      </w:r>
      <w:r>
        <w:rPr>
          <w:spacing w:val="1"/>
        </w:rPr>
        <w:t> </w:t>
      </w:r>
      <w:r>
        <w:rPr/>
        <w:t>ПОСЕБНИХ</w:t>
      </w:r>
      <w:r>
        <w:rPr>
          <w:spacing w:val="-3"/>
        </w:rPr>
        <w:t> </w:t>
      </w:r>
      <w:r>
        <w:rPr>
          <w:spacing w:val="-2"/>
        </w:rPr>
        <w:t>ЦИЉЕВА</w:t>
      </w:r>
    </w:p>
    <w:p>
      <w:pPr>
        <w:pStyle w:val="BodyText"/>
        <w:ind w:left="0"/>
        <w:jc w:val="left"/>
        <w:rPr>
          <w:b/>
          <w:sz w:val="20"/>
        </w:rPr>
      </w:pPr>
    </w:p>
    <w:p>
      <w:pPr>
        <w:pStyle w:val="BodyText"/>
        <w:spacing w:before="155"/>
        <w:ind w:left="0"/>
        <w:jc w:val="left"/>
        <w:rPr>
          <w:b/>
          <w:sz w:val="20"/>
        </w:rPr>
      </w:pPr>
      <w:r>
        <w:rPr>
          <w:b/>
          <w:sz w:val="20"/>
        </w:rPr>
        <mc:AlternateContent>
          <mc:Choice Requires="wps">
            <w:drawing>
              <wp:anchor distT="0" distB="0" distL="0" distR="0" allowOverlap="1" layoutInCell="1" locked="0" behindDoc="1" simplePos="0" relativeHeight="487601152">
                <wp:simplePos x="0" y="0"/>
                <wp:positionH relativeFrom="page">
                  <wp:posOffset>896416</wp:posOffset>
                </wp:positionH>
                <wp:positionV relativeFrom="paragraph">
                  <wp:posOffset>260257</wp:posOffset>
                </wp:positionV>
                <wp:extent cx="5981065" cy="350520"/>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5981065" cy="350520"/>
                        </a:xfrm>
                        <a:prstGeom prst="rect">
                          <a:avLst/>
                        </a:prstGeom>
                        <a:solidFill>
                          <a:srgbClr val="D9D9D9"/>
                        </a:solidFill>
                      </wps:spPr>
                      <wps:txbx>
                        <w:txbxContent>
                          <w:p>
                            <w:pPr>
                              <w:spacing w:line="240" w:lineRule="auto" w:before="0"/>
                              <w:ind w:left="28" w:right="0" w:firstLine="0"/>
                              <w:jc w:val="left"/>
                              <w:rPr>
                                <w:b/>
                                <w:color w:val="000000"/>
                                <w:sz w:val="24"/>
                              </w:rPr>
                            </w:pPr>
                            <w:r>
                              <w:rPr>
                                <w:b/>
                                <w:color w:val="000000"/>
                                <w:sz w:val="24"/>
                              </w:rPr>
                              <w:t>Посебни</w:t>
                            </w:r>
                            <w:r>
                              <w:rPr>
                                <w:b/>
                                <w:color w:val="000000"/>
                                <w:spacing w:val="-4"/>
                                <w:sz w:val="24"/>
                              </w:rPr>
                              <w:t> </w:t>
                            </w:r>
                            <w:r>
                              <w:rPr>
                                <w:b/>
                                <w:color w:val="000000"/>
                                <w:sz w:val="24"/>
                              </w:rPr>
                              <w:t>циљ</w:t>
                            </w:r>
                            <w:r>
                              <w:rPr>
                                <w:b/>
                                <w:color w:val="000000"/>
                                <w:spacing w:val="-4"/>
                                <w:sz w:val="24"/>
                              </w:rPr>
                              <w:t> </w:t>
                            </w:r>
                            <w:r>
                              <w:rPr>
                                <w:b/>
                                <w:color w:val="000000"/>
                                <w:sz w:val="24"/>
                              </w:rPr>
                              <w:t>1.</w:t>
                            </w:r>
                            <w:r>
                              <w:rPr>
                                <w:b/>
                                <w:color w:val="000000"/>
                                <w:spacing w:val="-4"/>
                                <w:sz w:val="24"/>
                              </w:rPr>
                              <w:t> </w:t>
                            </w:r>
                            <w:r>
                              <w:rPr>
                                <w:b/>
                                <w:color w:val="000000"/>
                                <w:sz w:val="24"/>
                              </w:rPr>
                              <w:t>-</w:t>
                            </w:r>
                            <w:r>
                              <w:rPr>
                                <w:b/>
                                <w:color w:val="000000"/>
                                <w:spacing w:val="-5"/>
                                <w:sz w:val="24"/>
                              </w:rPr>
                              <w:t> </w:t>
                            </w:r>
                            <w:r>
                              <w:rPr>
                                <w:b/>
                                <w:color w:val="000000"/>
                                <w:sz w:val="24"/>
                              </w:rPr>
                              <w:t>Остварен</w:t>
                            </w:r>
                            <w:r>
                              <w:rPr>
                                <w:b/>
                                <w:color w:val="000000"/>
                                <w:spacing w:val="-4"/>
                                <w:sz w:val="24"/>
                              </w:rPr>
                              <w:t> </w:t>
                            </w:r>
                            <w:r>
                              <w:rPr>
                                <w:b/>
                                <w:color w:val="000000"/>
                                <w:sz w:val="24"/>
                              </w:rPr>
                              <w:t>раст</w:t>
                            </w:r>
                            <w:r>
                              <w:rPr>
                                <w:b/>
                                <w:color w:val="000000"/>
                                <w:spacing w:val="-5"/>
                                <w:sz w:val="24"/>
                              </w:rPr>
                              <w:t> </w:t>
                            </w:r>
                            <w:r>
                              <w:rPr>
                                <w:b/>
                                <w:color w:val="000000"/>
                                <w:sz w:val="24"/>
                              </w:rPr>
                              <w:t>инклузивне</w:t>
                            </w:r>
                            <w:r>
                              <w:rPr>
                                <w:b/>
                                <w:color w:val="000000"/>
                                <w:spacing w:val="-5"/>
                                <w:sz w:val="24"/>
                              </w:rPr>
                              <w:t> </w:t>
                            </w:r>
                            <w:r>
                              <w:rPr>
                                <w:b/>
                                <w:color w:val="000000"/>
                                <w:sz w:val="24"/>
                              </w:rPr>
                              <w:t>и</w:t>
                            </w:r>
                            <w:r>
                              <w:rPr>
                                <w:b/>
                                <w:color w:val="000000"/>
                                <w:spacing w:val="-4"/>
                                <w:sz w:val="24"/>
                              </w:rPr>
                              <w:t> </w:t>
                            </w:r>
                            <w:r>
                              <w:rPr>
                                <w:b/>
                                <w:color w:val="000000"/>
                                <w:sz w:val="24"/>
                              </w:rPr>
                              <w:t>квалитетне</w:t>
                            </w:r>
                            <w:r>
                              <w:rPr>
                                <w:b/>
                                <w:color w:val="000000"/>
                                <w:spacing w:val="-5"/>
                                <w:sz w:val="24"/>
                              </w:rPr>
                              <w:t> </w:t>
                            </w:r>
                            <w:r>
                              <w:rPr>
                                <w:b/>
                                <w:color w:val="000000"/>
                                <w:sz w:val="24"/>
                              </w:rPr>
                              <w:t>запослености</w:t>
                            </w:r>
                            <w:r>
                              <w:rPr>
                                <w:b/>
                                <w:color w:val="000000"/>
                                <w:spacing w:val="-6"/>
                                <w:sz w:val="24"/>
                              </w:rPr>
                              <w:t> </w:t>
                            </w:r>
                            <w:r>
                              <w:rPr>
                                <w:b/>
                                <w:color w:val="000000"/>
                                <w:sz w:val="24"/>
                              </w:rPr>
                              <w:t>кроз координацију политике запошљавања са другим секторским политикама</w:t>
                            </w:r>
                          </w:p>
                        </w:txbxContent>
                      </wps:txbx>
                      <wps:bodyPr wrap="square" lIns="0" tIns="0" rIns="0" bIns="0" rtlCol="0">
                        <a:noAutofit/>
                      </wps:bodyPr>
                    </wps:wsp>
                  </a:graphicData>
                </a:graphic>
              </wp:anchor>
            </w:drawing>
          </mc:Choice>
          <mc:Fallback>
            <w:pict>
              <v:shape style="position:absolute;margin-left:70.584pt;margin-top:20.492695pt;width:470.95pt;height:27.6pt;mso-position-horizontal-relative:page;mso-position-vertical-relative:paragraph;z-index:-15715328;mso-wrap-distance-left:0;mso-wrap-distance-right:0" type="#_x0000_t202" id="docshape28" filled="true" fillcolor="#d9d9d9" stroked="false">
                <v:textbox inset="0,0,0,0">
                  <w:txbxContent>
                    <w:p>
                      <w:pPr>
                        <w:spacing w:line="240" w:lineRule="auto" w:before="0"/>
                        <w:ind w:left="28" w:right="0" w:firstLine="0"/>
                        <w:jc w:val="left"/>
                        <w:rPr>
                          <w:b/>
                          <w:color w:val="000000"/>
                          <w:sz w:val="24"/>
                        </w:rPr>
                      </w:pPr>
                      <w:r>
                        <w:rPr>
                          <w:b/>
                          <w:color w:val="000000"/>
                          <w:sz w:val="24"/>
                        </w:rPr>
                        <w:t>Посебни</w:t>
                      </w:r>
                      <w:r>
                        <w:rPr>
                          <w:b/>
                          <w:color w:val="000000"/>
                          <w:spacing w:val="-4"/>
                          <w:sz w:val="24"/>
                        </w:rPr>
                        <w:t> </w:t>
                      </w:r>
                      <w:r>
                        <w:rPr>
                          <w:b/>
                          <w:color w:val="000000"/>
                          <w:sz w:val="24"/>
                        </w:rPr>
                        <w:t>циљ</w:t>
                      </w:r>
                      <w:r>
                        <w:rPr>
                          <w:b/>
                          <w:color w:val="000000"/>
                          <w:spacing w:val="-4"/>
                          <w:sz w:val="24"/>
                        </w:rPr>
                        <w:t> </w:t>
                      </w:r>
                      <w:r>
                        <w:rPr>
                          <w:b/>
                          <w:color w:val="000000"/>
                          <w:sz w:val="24"/>
                        </w:rPr>
                        <w:t>1.</w:t>
                      </w:r>
                      <w:r>
                        <w:rPr>
                          <w:b/>
                          <w:color w:val="000000"/>
                          <w:spacing w:val="-4"/>
                          <w:sz w:val="24"/>
                        </w:rPr>
                        <w:t> </w:t>
                      </w:r>
                      <w:r>
                        <w:rPr>
                          <w:b/>
                          <w:color w:val="000000"/>
                          <w:sz w:val="24"/>
                        </w:rPr>
                        <w:t>-</w:t>
                      </w:r>
                      <w:r>
                        <w:rPr>
                          <w:b/>
                          <w:color w:val="000000"/>
                          <w:spacing w:val="-5"/>
                          <w:sz w:val="24"/>
                        </w:rPr>
                        <w:t> </w:t>
                      </w:r>
                      <w:r>
                        <w:rPr>
                          <w:b/>
                          <w:color w:val="000000"/>
                          <w:sz w:val="24"/>
                        </w:rPr>
                        <w:t>Остварен</w:t>
                      </w:r>
                      <w:r>
                        <w:rPr>
                          <w:b/>
                          <w:color w:val="000000"/>
                          <w:spacing w:val="-4"/>
                          <w:sz w:val="24"/>
                        </w:rPr>
                        <w:t> </w:t>
                      </w:r>
                      <w:r>
                        <w:rPr>
                          <w:b/>
                          <w:color w:val="000000"/>
                          <w:sz w:val="24"/>
                        </w:rPr>
                        <w:t>раст</w:t>
                      </w:r>
                      <w:r>
                        <w:rPr>
                          <w:b/>
                          <w:color w:val="000000"/>
                          <w:spacing w:val="-5"/>
                          <w:sz w:val="24"/>
                        </w:rPr>
                        <w:t> </w:t>
                      </w:r>
                      <w:r>
                        <w:rPr>
                          <w:b/>
                          <w:color w:val="000000"/>
                          <w:sz w:val="24"/>
                        </w:rPr>
                        <w:t>инклузивне</w:t>
                      </w:r>
                      <w:r>
                        <w:rPr>
                          <w:b/>
                          <w:color w:val="000000"/>
                          <w:spacing w:val="-5"/>
                          <w:sz w:val="24"/>
                        </w:rPr>
                        <w:t> </w:t>
                      </w:r>
                      <w:r>
                        <w:rPr>
                          <w:b/>
                          <w:color w:val="000000"/>
                          <w:sz w:val="24"/>
                        </w:rPr>
                        <w:t>и</w:t>
                      </w:r>
                      <w:r>
                        <w:rPr>
                          <w:b/>
                          <w:color w:val="000000"/>
                          <w:spacing w:val="-4"/>
                          <w:sz w:val="24"/>
                        </w:rPr>
                        <w:t> </w:t>
                      </w:r>
                      <w:r>
                        <w:rPr>
                          <w:b/>
                          <w:color w:val="000000"/>
                          <w:sz w:val="24"/>
                        </w:rPr>
                        <w:t>квалитетне</w:t>
                      </w:r>
                      <w:r>
                        <w:rPr>
                          <w:b/>
                          <w:color w:val="000000"/>
                          <w:spacing w:val="-5"/>
                          <w:sz w:val="24"/>
                        </w:rPr>
                        <w:t> </w:t>
                      </w:r>
                      <w:r>
                        <w:rPr>
                          <w:b/>
                          <w:color w:val="000000"/>
                          <w:sz w:val="24"/>
                        </w:rPr>
                        <w:t>запослености</w:t>
                      </w:r>
                      <w:r>
                        <w:rPr>
                          <w:b/>
                          <w:color w:val="000000"/>
                          <w:spacing w:val="-6"/>
                          <w:sz w:val="24"/>
                        </w:rPr>
                        <w:t> </w:t>
                      </w:r>
                      <w:r>
                        <w:rPr>
                          <w:b/>
                          <w:color w:val="000000"/>
                          <w:sz w:val="24"/>
                        </w:rPr>
                        <w:t>кроз координацију политике запошљавања са другим секторским политикама</w:t>
                      </w:r>
                    </w:p>
                  </w:txbxContent>
                </v:textbox>
                <v:fill type="solid"/>
                <w10:wrap type="topAndBottom"/>
              </v:shape>
            </w:pict>
          </mc:Fallback>
        </mc:AlternateContent>
      </w:r>
    </w:p>
    <w:p>
      <w:pPr>
        <w:pStyle w:val="BodyText"/>
        <w:spacing w:before="140"/>
        <w:ind w:left="0"/>
        <w:jc w:val="left"/>
        <w:rPr>
          <w:b/>
        </w:rPr>
      </w:pPr>
    </w:p>
    <w:p>
      <w:pPr>
        <w:pStyle w:val="Heading2"/>
      </w:pPr>
      <w:r>
        <w:rPr/>
        <w:t>Мера</w:t>
      </w:r>
      <w:r>
        <w:rPr>
          <w:spacing w:val="-3"/>
        </w:rPr>
        <w:t> </w:t>
      </w:r>
      <w:r>
        <w:rPr/>
        <w:t>1.1.</w:t>
      </w:r>
      <w:r>
        <w:rPr>
          <w:spacing w:val="-2"/>
        </w:rPr>
        <w:t> </w:t>
      </w:r>
      <w:r>
        <w:rPr/>
        <w:t>-</w:t>
      </w:r>
      <w:r>
        <w:rPr>
          <w:spacing w:val="-3"/>
        </w:rPr>
        <w:t> </w:t>
      </w:r>
      <w:r>
        <w:rPr/>
        <w:t>Унапређење</w:t>
      </w:r>
      <w:r>
        <w:rPr>
          <w:spacing w:val="-3"/>
        </w:rPr>
        <w:t> </w:t>
      </w:r>
      <w:r>
        <w:rPr/>
        <w:t>квалитета</w:t>
      </w:r>
      <w:r>
        <w:rPr>
          <w:spacing w:val="-2"/>
        </w:rPr>
        <w:t> </w:t>
      </w:r>
      <w:r>
        <w:rPr/>
        <w:t>радне</w:t>
      </w:r>
      <w:r>
        <w:rPr>
          <w:spacing w:val="-3"/>
        </w:rPr>
        <w:t> </w:t>
      </w:r>
      <w:r>
        <w:rPr>
          <w:spacing w:val="-2"/>
        </w:rPr>
        <w:t>снаге</w:t>
      </w:r>
    </w:p>
    <w:p>
      <w:pPr>
        <w:pStyle w:val="BodyText"/>
        <w:spacing w:before="135"/>
        <w:ind w:left="0"/>
        <w:jc w:val="left"/>
        <w:rPr>
          <w:b/>
        </w:rPr>
      </w:pPr>
    </w:p>
    <w:p>
      <w:pPr>
        <w:pStyle w:val="BodyText"/>
        <w:ind w:right="716" w:firstLine="719"/>
      </w:pPr>
      <w:r>
        <w:rPr/>
        <w:t>У ери дигитализације и убрзаног техничко-технолошког развоја учеснике на тржишту</w:t>
      </w:r>
      <w:r>
        <w:rPr>
          <w:spacing w:val="-4"/>
        </w:rPr>
        <w:t> </w:t>
      </w:r>
      <w:r>
        <w:rPr/>
        <w:t>рада треба опремити одговарајућим знањима, вештинама и компетенцијама како би</w:t>
      </w:r>
      <w:r>
        <w:rPr>
          <w:spacing w:val="-9"/>
        </w:rPr>
        <w:t> </w:t>
      </w:r>
      <w:r>
        <w:rPr/>
        <w:t>могли</w:t>
      </w:r>
      <w:r>
        <w:rPr>
          <w:spacing w:val="-9"/>
        </w:rPr>
        <w:t> </w:t>
      </w:r>
      <w:r>
        <w:rPr/>
        <w:t>да</w:t>
      </w:r>
      <w:r>
        <w:rPr>
          <w:spacing w:val="-10"/>
        </w:rPr>
        <w:t> </w:t>
      </w:r>
      <w:r>
        <w:rPr/>
        <w:t>одговоре</w:t>
      </w:r>
      <w:r>
        <w:rPr>
          <w:spacing w:val="-9"/>
        </w:rPr>
        <w:t> </w:t>
      </w:r>
      <w:r>
        <w:rPr/>
        <w:t>на</w:t>
      </w:r>
      <w:r>
        <w:rPr>
          <w:spacing w:val="-11"/>
        </w:rPr>
        <w:t> </w:t>
      </w:r>
      <w:r>
        <w:rPr/>
        <w:t>захтеве</w:t>
      </w:r>
      <w:r>
        <w:rPr>
          <w:spacing w:val="-11"/>
        </w:rPr>
        <w:t> </w:t>
      </w:r>
      <w:r>
        <w:rPr/>
        <w:t>тржишта</w:t>
      </w:r>
      <w:r>
        <w:rPr>
          <w:spacing w:val="-10"/>
        </w:rPr>
        <w:t> </w:t>
      </w:r>
      <w:r>
        <w:rPr/>
        <w:t>рада</w:t>
      </w:r>
      <w:r>
        <w:rPr>
          <w:spacing w:val="-8"/>
        </w:rPr>
        <w:t> </w:t>
      </w:r>
      <w:r>
        <w:rPr/>
        <w:t>које</w:t>
      </w:r>
      <w:r>
        <w:rPr>
          <w:spacing w:val="-10"/>
        </w:rPr>
        <w:t> </w:t>
      </w:r>
      <w:r>
        <w:rPr/>
        <w:t>се</w:t>
      </w:r>
      <w:r>
        <w:rPr>
          <w:spacing w:val="-8"/>
        </w:rPr>
        <w:t> </w:t>
      </w:r>
      <w:r>
        <w:rPr/>
        <w:t>мења,</w:t>
      </w:r>
      <w:r>
        <w:rPr>
          <w:spacing w:val="-7"/>
        </w:rPr>
        <w:t> </w:t>
      </w:r>
      <w:r>
        <w:rPr/>
        <w:t>али</w:t>
      </w:r>
      <w:r>
        <w:rPr>
          <w:spacing w:val="-9"/>
        </w:rPr>
        <w:t> </w:t>
      </w:r>
      <w:r>
        <w:rPr/>
        <w:t>и</w:t>
      </w:r>
      <w:r>
        <w:rPr>
          <w:spacing w:val="-9"/>
        </w:rPr>
        <w:t> </w:t>
      </w:r>
      <w:r>
        <w:rPr/>
        <w:t>оспособити</w:t>
      </w:r>
      <w:r>
        <w:rPr>
          <w:spacing w:val="-8"/>
        </w:rPr>
        <w:t> </w:t>
      </w:r>
      <w:r>
        <w:rPr/>
        <w:t>да</w:t>
      </w:r>
      <w:r>
        <w:rPr>
          <w:spacing w:val="-8"/>
        </w:rPr>
        <w:t> </w:t>
      </w:r>
      <w:r>
        <w:rPr/>
        <w:t>управљају својом каријером током целог живота, с обзиром да се у току радног века, а условљено променама на тржишту рада, појединац суочава са различитим облицима транзиције, не само у смислу промене радног места или послодавца, него и занимања којима се бави.</w:t>
      </w:r>
    </w:p>
    <w:p>
      <w:pPr>
        <w:pStyle w:val="BodyText"/>
        <w:spacing w:before="120"/>
        <w:ind w:right="711" w:firstLine="719"/>
      </w:pPr>
      <w:r>
        <w:rPr/>
        <w:t>Отуда, а узимајући у обзир природу концепта каријерног вођења и саветовања (КВиС), као система услуга које младим људима помаже при избору одговарајућег образовања у односу на занимање којим у животу желе да се баве, односно, одраслимa у управљању каријером, у наредном периоду потребно је исти даље развијати и учинити доступним најширем кругу грађана. За развој КВиС од великог је значаја примена Правилника о стандардима услуга каријерног вођења и саветовања који је 2019. године донело Министарство просвете, науке и технолошког развоја и Препорука за имплементацију плана примене стандарда услуга каријерног вођења и саветовања које је донео Савет за Национални оквир квалификација Републике Србије (НОКС). Стандарди КВиС од значаја су за успостављање јединственог система квалитета у области КВиС и стога је потребно олакшати њихову примену од стране свих пружалаца услуга КВиС, организовањем информативних сесија, обука и др., како за запослене у школама који су укључени</w:t>
      </w:r>
      <w:r>
        <w:rPr>
          <w:spacing w:val="-6"/>
        </w:rPr>
        <w:t> </w:t>
      </w:r>
      <w:r>
        <w:rPr/>
        <w:t>у</w:t>
      </w:r>
      <w:r>
        <w:rPr>
          <w:spacing w:val="-11"/>
        </w:rPr>
        <w:t> </w:t>
      </w:r>
      <w:r>
        <w:rPr/>
        <w:t>тимове</w:t>
      </w:r>
      <w:r>
        <w:rPr>
          <w:spacing w:val="-10"/>
        </w:rPr>
        <w:t> </w:t>
      </w:r>
      <w:r>
        <w:rPr/>
        <w:t>за</w:t>
      </w:r>
      <w:r>
        <w:rPr>
          <w:spacing w:val="-8"/>
        </w:rPr>
        <w:t> </w:t>
      </w:r>
      <w:r>
        <w:rPr/>
        <w:t>професионалну</w:t>
      </w:r>
      <w:r>
        <w:rPr>
          <w:spacing w:val="-13"/>
        </w:rPr>
        <w:t> </w:t>
      </w:r>
      <w:r>
        <w:rPr/>
        <w:t>оријентацију,</w:t>
      </w:r>
      <w:r>
        <w:rPr>
          <w:spacing w:val="-9"/>
        </w:rPr>
        <w:t> </w:t>
      </w:r>
      <w:r>
        <w:rPr/>
        <w:t>тако</w:t>
      </w:r>
      <w:r>
        <w:rPr>
          <w:spacing w:val="-9"/>
        </w:rPr>
        <w:t> </w:t>
      </w:r>
      <w:r>
        <w:rPr/>
        <w:t>и</w:t>
      </w:r>
      <w:r>
        <w:rPr>
          <w:spacing w:val="-9"/>
        </w:rPr>
        <w:t> </w:t>
      </w:r>
      <w:r>
        <w:rPr/>
        <w:t>запослене</w:t>
      </w:r>
      <w:r>
        <w:rPr>
          <w:spacing w:val="-4"/>
        </w:rPr>
        <w:t> </w:t>
      </w:r>
      <w:r>
        <w:rPr/>
        <w:t>у</w:t>
      </w:r>
      <w:r>
        <w:rPr>
          <w:spacing w:val="-11"/>
        </w:rPr>
        <w:t> </w:t>
      </w:r>
      <w:r>
        <w:rPr/>
        <w:t>НСЗ</w:t>
      </w:r>
      <w:r>
        <w:rPr>
          <w:spacing w:val="-9"/>
        </w:rPr>
        <w:t> </w:t>
      </w:r>
      <w:r>
        <w:rPr/>
        <w:t>и</w:t>
      </w:r>
      <w:r>
        <w:rPr>
          <w:spacing w:val="-9"/>
        </w:rPr>
        <w:t> </w:t>
      </w:r>
      <w:r>
        <w:rPr/>
        <w:t>агенцијама</w:t>
      </w:r>
      <w:r>
        <w:rPr>
          <w:spacing w:val="-10"/>
        </w:rPr>
        <w:t> </w:t>
      </w:r>
      <w:r>
        <w:rPr/>
        <w:t>за запошљавање</w:t>
      </w:r>
      <w:r>
        <w:rPr>
          <w:spacing w:val="-14"/>
        </w:rPr>
        <w:t> </w:t>
      </w:r>
      <w:r>
        <w:rPr/>
        <w:t>који</w:t>
      </w:r>
      <w:r>
        <w:rPr>
          <w:spacing w:val="-11"/>
        </w:rPr>
        <w:t> </w:t>
      </w:r>
      <w:r>
        <w:rPr/>
        <w:t>пружају</w:t>
      </w:r>
      <w:r>
        <w:rPr>
          <w:spacing w:val="-12"/>
        </w:rPr>
        <w:t> </w:t>
      </w:r>
      <w:r>
        <w:rPr/>
        <w:t>услуге</w:t>
      </w:r>
      <w:r>
        <w:rPr>
          <w:spacing w:val="-11"/>
        </w:rPr>
        <w:t> </w:t>
      </w:r>
      <w:r>
        <w:rPr/>
        <w:t>КВиС</w:t>
      </w:r>
      <w:r>
        <w:rPr>
          <w:spacing w:val="-12"/>
        </w:rPr>
        <w:t> </w:t>
      </w:r>
      <w:r>
        <w:rPr/>
        <w:t>и</w:t>
      </w:r>
      <w:r>
        <w:rPr>
          <w:spacing w:val="-11"/>
        </w:rPr>
        <w:t> </w:t>
      </w:r>
      <w:r>
        <w:rPr/>
        <w:t>саветовања</w:t>
      </w:r>
      <w:r>
        <w:rPr>
          <w:spacing w:val="-11"/>
        </w:rPr>
        <w:t> </w:t>
      </w:r>
      <w:r>
        <w:rPr/>
        <w:t>за</w:t>
      </w:r>
      <w:r>
        <w:rPr>
          <w:spacing w:val="-13"/>
        </w:rPr>
        <w:t> </w:t>
      </w:r>
      <w:r>
        <w:rPr/>
        <w:t>запошљавање.</w:t>
      </w:r>
      <w:r>
        <w:rPr>
          <w:spacing w:val="-12"/>
        </w:rPr>
        <w:t> </w:t>
      </w:r>
      <w:r>
        <w:rPr/>
        <w:t>Такође,</w:t>
      </w:r>
      <w:r>
        <w:rPr>
          <w:spacing w:val="-7"/>
        </w:rPr>
        <w:t> </w:t>
      </w:r>
      <w:r>
        <w:rPr/>
        <w:t>у</w:t>
      </w:r>
      <w:r>
        <w:rPr>
          <w:spacing w:val="-15"/>
        </w:rPr>
        <w:t> </w:t>
      </w:r>
      <w:r>
        <w:rPr/>
        <w:t>наредном периоду треба обратити посебну пажњу на организације цивилног друштва које се баве КВиС, а које могу овом услугом да обухвате значајан број лица, посебно оних који нису склони да се за подршку обрате институцијама система.</w:t>
      </w:r>
    </w:p>
    <w:p>
      <w:pPr>
        <w:pStyle w:val="BodyText"/>
        <w:spacing w:before="122"/>
        <w:ind w:right="722" w:firstLine="719"/>
      </w:pPr>
      <w:r>
        <w:rPr/>
        <w:t>Истовремено, даљи развој Националне стандардне класификације занимања омогућиће</w:t>
      </w:r>
      <w:r>
        <w:rPr>
          <w:spacing w:val="16"/>
        </w:rPr>
        <w:t> </w:t>
      </w:r>
      <w:r>
        <w:rPr/>
        <w:t>праћење</w:t>
      </w:r>
      <w:r>
        <w:rPr>
          <w:spacing w:val="17"/>
        </w:rPr>
        <w:t> </w:t>
      </w:r>
      <w:r>
        <w:rPr/>
        <w:t>промена</w:t>
      </w:r>
      <w:r>
        <w:rPr>
          <w:spacing w:val="16"/>
        </w:rPr>
        <w:t> </w:t>
      </w:r>
      <w:r>
        <w:rPr/>
        <w:t>на</w:t>
      </w:r>
      <w:r>
        <w:rPr>
          <w:spacing w:val="17"/>
        </w:rPr>
        <w:t> </w:t>
      </w:r>
      <w:r>
        <w:rPr/>
        <w:t>тржишту</w:t>
      </w:r>
      <w:r>
        <w:rPr>
          <w:spacing w:val="13"/>
        </w:rPr>
        <w:t> </w:t>
      </w:r>
      <w:r>
        <w:rPr/>
        <w:t>рада</w:t>
      </w:r>
      <w:r>
        <w:rPr>
          <w:spacing w:val="16"/>
        </w:rPr>
        <w:t> </w:t>
      </w:r>
      <w:r>
        <w:rPr/>
        <w:t>и</w:t>
      </w:r>
      <w:r>
        <w:rPr>
          <w:spacing w:val="18"/>
        </w:rPr>
        <w:t> </w:t>
      </w:r>
      <w:r>
        <w:rPr/>
        <w:t>добијање</w:t>
      </w:r>
      <w:r>
        <w:rPr>
          <w:spacing w:val="19"/>
        </w:rPr>
        <w:t> </w:t>
      </w:r>
      <w:r>
        <w:rPr/>
        <w:t>информација</w:t>
      </w:r>
      <w:r>
        <w:rPr>
          <w:spacing w:val="16"/>
        </w:rPr>
        <w:t> </w:t>
      </w:r>
      <w:r>
        <w:rPr/>
        <w:t>која</w:t>
      </w:r>
      <w:r>
        <w:rPr>
          <w:spacing w:val="17"/>
        </w:rPr>
        <w:t> </w:t>
      </w:r>
      <w:r>
        <w:rPr/>
        <w:t>занимања</w:t>
      </w:r>
      <w:r>
        <w:rPr>
          <w:spacing w:val="17"/>
        </w:rPr>
        <w:t> </w:t>
      </w:r>
      <w:r>
        <w:rPr>
          <w:spacing w:val="-5"/>
        </w:rPr>
        <w:t>су</w:t>
      </w:r>
    </w:p>
    <w:p>
      <w:pPr>
        <w:pStyle w:val="BodyText"/>
        <w:spacing w:after="0"/>
        <w:sectPr>
          <w:type w:val="continuous"/>
          <w:pgSz w:w="12240" w:h="15840"/>
          <w:pgMar w:header="0" w:footer="702" w:top="1420" w:bottom="900" w:left="1080" w:right="720"/>
        </w:sectPr>
      </w:pPr>
    </w:p>
    <w:p>
      <w:pPr>
        <w:pStyle w:val="BodyText"/>
        <w:spacing w:before="72"/>
        <w:ind w:right="719"/>
      </w:pPr>
      <w:r>
        <w:rPr/>
        <w:t>актуелна, а која су се угасила, што представља важну информацију за вођење процеса усклађивања формалног и неформалног система образовања са тржиштем рада Наиме, израда стандарда за што већи број занимања, ради препознатљивости садржаја занимања, допринеће лакшем доношењу одлуке о избору занимања, али и омогућити креирање стандарда квалификација неопходних за израду наставних планова и програма који ће ученике оспособити за обављање занимања у складу са потребама које тржиште рада поставља пред конкретно занимање.</w:t>
      </w:r>
    </w:p>
    <w:p>
      <w:pPr>
        <w:pStyle w:val="BodyText"/>
        <w:spacing w:before="120"/>
        <w:ind w:right="718" w:firstLine="719"/>
      </w:pPr>
      <w:r>
        <w:rPr/>
        <w:t>У</w:t>
      </w:r>
      <w:r>
        <w:rPr>
          <w:spacing w:val="-2"/>
        </w:rPr>
        <w:t> </w:t>
      </w:r>
      <w:r>
        <w:rPr/>
        <w:t>оквиру</w:t>
      </w:r>
      <w:r>
        <w:rPr>
          <w:spacing w:val="-9"/>
        </w:rPr>
        <w:t> </w:t>
      </w:r>
      <w:r>
        <w:rPr/>
        <w:t>даљег</w:t>
      </w:r>
      <w:r>
        <w:rPr>
          <w:spacing w:val="-2"/>
        </w:rPr>
        <w:t> </w:t>
      </w:r>
      <w:r>
        <w:rPr/>
        <w:t>развоја НОКС-а,</w:t>
      </w:r>
      <w:r>
        <w:rPr>
          <w:spacing w:val="-2"/>
        </w:rPr>
        <w:t> </w:t>
      </w:r>
      <w:r>
        <w:rPr/>
        <w:t>развијаће</w:t>
      </w:r>
      <w:r>
        <w:rPr>
          <w:spacing w:val="-4"/>
        </w:rPr>
        <w:t> </w:t>
      </w:r>
      <w:r>
        <w:rPr/>
        <w:t>се</w:t>
      </w:r>
      <w:r>
        <w:rPr>
          <w:spacing w:val="-3"/>
        </w:rPr>
        <w:t> </w:t>
      </w:r>
      <w:r>
        <w:rPr/>
        <w:t>систем</w:t>
      </w:r>
      <w:r>
        <w:rPr>
          <w:spacing w:val="-3"/>
        </w:rPr>
        <w:t> </w:t>
      </w:r>
      <w:r>
        <w:rPr/>
        <w:t>признавања</w:t>
      </w:r>
      <w:r>
        <w:rPr>
          <w:spacing w:val="-3"/>
        </w:rPr>
        <w:t> </w:t>
      </w:r>
      <w:r>
        <w:rPr/>
        <w:t>претходног учења (ППУ), који ће омогућити да знања и вештине стечене изван система образовања буду признати</w:t>
      </w:r>
      <w:r>
        <w:rPr>
          <w:spacing w:val="-14"/>
        </w:rPr>
        <w:t> </w:t>
      </w:r>
      <w:r>
        <w:rPr/>
        <w:t>стицањем</w:t>
      </w:r>
      <w:r>
        <w:rPr>
          <w:spacing w:val="-14"/>
        </w:rPr>
        <w:t> </w:t>
      </w:r>
      <w:r>
        <w:rPr/>
        <w:t>јавне</w:t>
      </w:r>
      <w:r>
        <w:rPr>
          <w:spacing w:val="-14"/>
        </w:rPr>
        <w:t> </w:t>
      </w:r>
      <w:r>
        <w:rPr/>
        <w:t>исправе</w:t>
      </w:r>
      <w:r>
        <w:rPr>
          <w:spacing w:val="-14"/>
        </w:rPr>
        <w:t> </w:t>
      </w:r>
      <w:r>
        <w:rPr/>
        <w:t>и</w:t>
      </w:r>
      <w:r>
        <w:rPr>
          <w:spacing w:val="-12"/>
        </w:rPr>
        <w:t> </w:t>
      </w:r>
      <w:r>
        <w:rPr/>
        <w:t>тако</w:t>
      </w:r>
      <w:r>
        <w:rPr>
          <w:spacing w:val="-15"/>
        </w:rPr>
        <w:t> </w:t>
      </w:r>
      <w:r>
        <w:rPr/>
        <w:t>препознатљиви</w:t>
      </w:r>
      <w:r>
        <w:rPr>
          <w:spacing w:val="-15"/>
        </w:rPr>
        <w:t> </w:t>
      </w:r>
      <w:r>
        <w:rPr/>
        <w:t>на</w:t>
      </w:r>
      <w:r>
        <w:rPr>
          <w:spacing w:val="-14"/>
        </w:rPr>
        <w:t> </w:t>
      </w:r>
      <w:r>
        <w:rPr/>
        <w:t>тржишту,</w:t>
      </w:r>
      <w:r>
        <w:rPr>
          <w:spacing w:val="-13"/>
        </w:rPr>
        <w:t> </w:t>
      </w:r>
      <w:r>
        <w:rPr/>
        <w:t>чиме</w:t>
      </w:r>
      <w:r>
        <w:rPr>
          <w:spacing w:val="-14"/>
        </w:rPr>
        <w:t> </w:t>
      </w:r>
      <w:r>
        <w:rPr/>
        <w:t>ће</w:t>
      </w:r>
      <w:r>
        <w:rPr>
          <w:spacing w:val="-14"/>
        </w:rPr>
        <w:t> </w:t>
      </w:r>
      <w:r>
        <w:rPr/>
        <w:t>запошљавање бити олакшано, а позиција појединца код послодавца сигурнија и просперитетнија. Интензивна сарадња два система, образовања и запошљавања, као и релевантних институција, пре свега, НСЗ и образовних институција, веома је значајна за развој ППУ. Око једне трећине незапослених лица на евиденцији НСЗ чине лица без квалификација од којих велики број има дугогодишње радно искуство и која као таква могу представљати кандидате за укључивање у процес ППУ.</w:t>
      </w:r>
    </w:p>
    <w:p>
      <w:pPr>
        <w:pStyle w:val="BodyText"/>
        <w:spacing w:before="121"/>
        <w:ind w:right="717" w:firstLine="719"/>
      </w:pPr>
      <w:r>
        <w:rPr/>
        <w:t>Такође, даље ће се развијати систем обука у неформалном образовању кроз развој мреже јавно признатих организатора активности образовања одраслих (ЈПОА), унапређењем</w:t>
      </w:r>
      <w:r>
        <w:rPr>
          <w:spacing w:val="-10"/>
        </w:rPr>
        <w:t> </w:t>
      </w:r>
      <w:r>
        <w:rPr/>
        <w:t>поступка</w:t>
      </w:r>
      <w:r>
        <w:rPr>
          <w:spacing w:val="-8"/>
        </w:rPr>
        <w:t> </w:t>
      </w:r>
      <w:r>
        <w:rPr/>
        <w:t>за</w:t>
      </w:r>
      <w:r>
        <w:rPr>
          <w:spacing w:val="-11"/>
        </w:rPr>
        <w:t> </w:t>
      </w:r>
      <w:r>
        <w:rPr/>
        <w:t>стицање</w:t>
      </w:r>
      <w:r>
        <w:rPr>
          <w:spacing w:val="-11"/>
        </w:rPr>
        <w:t> </w:t>
      </w:r>
      <w:r>
        <w:rPr/>
        <w:t>статуса</w:t>
      </w:r>
      <w:r>
        <w:rPr>
          <w:spacing w:val="-11"/>
        </w:rPr>
        <w:t> </w:t>
      </w:r>
      <w:r>
        <w:rPr/>
        <w:t>ЈПОА</w:t>
      </w:r>
      <w:r>
        <w:rPr>
          <w:spacing w:val="-10"/>
        </w:rPr>
        <w:t> </w:t>
      </w:r>
      <w:r>
        <w:rPr/>
        <w:t>на</w:t>
      </w:r>
      <w:r>
        <w:rPr>
          <w:spacing w:val="-11"/>
        </w:rPr>
        <w:t> </w:t>
      </w:r>
      <w:r>
        <w:rPr/>
        <w:t>начин</w:t>
      </w:r>
      <w:r>
        <w:rPr>
          <w:spacing w:val="-9"/>
        </w:rPr>
        <w:t> </w:t>
      </w:r>
      <w:r>
        <w:rPr/>
        <w:t>да</w:t>
      </w:r>
      <w:r>
        <w:rPr>
          <w:spacing w:val="-10"/>
        </w:rPr>
        <w:t> </w:t>
      </w:r>
      <w:r>
        <w:rPr/>
        <w:t>се</w:t>
      </w:r>
      <w:r>
        <w:rPr>
          <w:spacing w:val="-11"/>
        </w:rPr>
        <w:t> </w:t>
      </w:r>
      <w:r>
        <w:rPr/>
        <w:t>омогући</w:t>
      </w:r>
      <w:r>
        <w:rPr>
          <w:spacing w:val="-9"/>
        </w:rPr>
        <w:t> </w:t>
      </w:r>
      <w:r>
        <w:rPr/>
        <w:t>повећање</w:t>
      </w:r>
      <w:r>
        <w:rPr>
          <w:spacing w:val="-8"/>
        </w:rPr>
        <w:t> </w:t>
      </w:r>
      <w:r>
        <w:rPr/>
        <w:t>њиховог броја, а у циљу ширења доступности акредитоване образовне услуге лицима која желе да се укључе у неформално образовање. Боља доступност ЈПОА у смислу повећања различитих програма обука које пружају, од великог је значаја и за организацију обука за тржиште рада за незапослена лица са евиденције НСЗ, будући да квалитет обуке, односно знања, вештине и компетенције које лице стекне током обуке односно стицање квалификације кроз неформално образовање, директно утичу на могућност запошљавања.</w:t>
      </w:r>
    </w:p>
    <w:p>
      <w:pPr>
        <w:pStyle w:val="BodyText"/>
        <w:ind w:left="0"/>
        <w:jc w:val="left"/>
        <w:rPr>
          <w:sz w:val="20"/>
        </w:rPr>
      </w:pPr>
    </w:p>
    <w:p>
      <w:pPr>
        <w:pStyle w:val="BodyText"/>
        <w:spacing w:before="67"/>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7"/>
        <w:gridCol w:w="6199"/>
      </w:tblGrid>
      <w:tr>
        <w:trPr>
          <w:trHeight w:val="541" w:hRule="atLeast"/>
        </w:trPr>
        <w:tc>
          <w:tcPr>
            <w:tcW w:w="1997" w:type="dxa"/>
          </w:tcPr>
          <w:p>
            <w:pPr>
              <w:pStyle w:val="TableParagraph"/>
              <w:spacing w:before="126"/>
              <w:ind w:left="50"/>
              <w:rPr>
                <w:i/>
                <w:sz w:val="24"/>
              </w:rPr>
            </w:pPr>
            <w:r>
              <w:rPr>
                <w:i/>
                <w:sz w:val="24"/>
              </w:rPr>
              <w:t>Врста/тип</w:t>
            </w:r>
            <w:r>
              <w:rPr>
                <w:i/>
                <w:spacing w:val="-4"/>
                <w:sz w:val="24"/>
              </w:rPr>
              <w:t> мере:</w:t>
            </w:r>
          </w:p>
        </w:tc>
        <w:tc>
          <w:tcPr>
            <w:tcW w:w="6199" w:type="dxa"/>
          </w:tcPr>
          <w:p>
            <w:pPr>
              <w:pStyle w:val="TableParagraph"/>
              <w:spacing w:line="266" w:lineRule="exact"/>
              <w:ind w:left="174"/>
              <w:rPr>
                <w:sz w:val="24"/>
              </w:rPr>
            </w:pPr>
            <w:r>
              <w:rPr>
                <w:sz w:val="24"/>
              </w:rPr>
              <w:t>Комбинована:</w:t>
            </w:r>
            <w:r>
              <w:rPr>
                <w:spacing w:val="-10"/>
                <w:sz w:val="24"/>
              </w:rPr>
              <w:t> </w:t>
            </w:r>
            <w:r>
              <w:rPr>
                <w:sz w:val="24"/>
              </w:rPr>
              <w:t>регулаторна;</w:t>
            </w:r>
            <w:r>
              <w:rPr>
                <w:spacing w:val="-7"/>
                <w:sz w:val="24"/>
              </w:rPr>
              <w:t> </w:t>
            </w:r>
            <w:r>
              <w:rPr>
                <w:sz w:val="24"/>
              </w:rPr>
              <w:t>институционално</w:t>
            </w:r>
            <w:r>
              <w:rPr>
                <w:spacing w:val="-9"/>
                <w:sz w:val="24"/>
              </w:rPr>
              <w:t> </w:t>
            </w:r>
            <w:r>
              <w:rPr>
                <w:spacing w:val="-2"/>
                <w:sz w:val="24"/>
              </w:rPr>
              <w:t>управљачко</w:t>
            </w:r>
          </w:p>
          <w:p>
            <w:pPr>
              <w:pStyle w:val="TableParagraph"/>
              <w:spacing w:line="256" w:lineRule="exact"/>
              <w:ind w:left="174"/>
              <w:rPr>
                <w:sz w:val="24"/>
              </w:rPr>
            </w:pPr>
            <w:r>
              <w:rPr>
                <w:sz w:val="24"/>
              </w:rPr>
              <w:t>организациона;</w:t>
            </w:r>
            <w:r>
              <w:rPr>
                <w:spacing w:val="-6"/>
                <w:sz w:val="24"/>
              </w:rPr>
              <w:t> </w:t>
            </w:r>
            <w:r>
              <w:rPr>
                <w:sz w:val="24"/>
              </w:rPr>
              <w:t>информативно</w:t>
            </w:r>
            <w:r>
              <w:rPr>
                <w:spacing w:val="-6"/>
                <w:sz w:val="24"/>
              </w:rPr>
              <w:t> </w:t>
            </w:r>
            <w:r>
              <w:rPr>
                <w:spacing w:val="-2"/>
                <w:sz w:val="24"/>
              </w:rPr>
              <w:t>едукативна</w:t>
            </w:r>
          </w:p>
        </w:tc>
      </w:tr>
    </w:tbl>
    <w:p>
      <w:pPr>
        <w:pStyle w:val="BodyText"/>
        <w:spacing w:before="149"/>
        <w:ind w:left="0"/>
        <w:jc w:val="left"/>
      </w:pPr>
    </w:p>
    <w:p>
      <w:pPr>
        <w:pStyle w:val="Heading2"/>
      </w:pPr>
      <w:r>
        <w:rPr/>
        <w:t>Мера</w:t>
      </w:r>
      <w:r>
        <w:rPr>
          <w:spacing w:val="-4"/>
        </w:rPr>
        <w:t> </w:t>
      </w:r>
      <w:r>
        <w:rPr/>
        <w:t>1.2.</w:t>
      </w:r>
      <w:r>
        <w:rPr>
          <w:spacing w:val="-2"/>
        </w:rPr>
        <w:t> </w:t>
      </w:r>
      <w:r>
        <w:rPr/>
        <w:t>-</w:t>
      </w:r>
      <w:r>
        <w:rPr>
          <w:spacing w:val="-3"/>
        </w:rPr>
        <w:t> </w:t>
      </w:r>
      <w:r>
        <w:rPr/>
        <w:t>Повећање исплативости</w:t>
      </w:r>
      <w:r>
        <w:rPr>
          <w:spacing w:val="-2"/>
        </w:rPr>
        <w:t> </w:t>
      </w:r>
      <w:r>
        <w:rPr/>
        <w:t>и</w:t>
      </w:r>
      <w:r>
        <w:rPr>
          <w:spacing w:val="-2"/>
        </w:rPr>
        <w:t> </w:t>
      </w:r>
      <w:r>
        <w:rPr/>
        <w:t>квалитета</w:t>
      </w:r>
      <w:r>
        <w:rPr>
          <w:spacing w:val="-3"/>
        </w:rPr>
        <w:t> </w:t>
      </w:r>
      <w:r>
        <w:rPr>
          <w:spacing w:val="-4"/>
        </w:rPr>
        <w:t>рада</w:t>
      </w:r>
    </w:p>
    <w:p>
      <w:pPr>
        <w:pStyle w:val="BodyText"/>
        <w:spacing w:before="37"/>
        <w:ind w:left="0"/>
        <w:jc w:val="left"/>
        <w:rPr>
          <w:b/>
        </w:rPr>
      </w:pPr>
    </w:p>
    <w:p>
      <w:pPr>
        <w:pStyle w:val="BodyText"/>
        <w:ind w:right="714" w:firstLine="719"/>
      </w:pPr>
      <w:r>
        <w:rPr/>
        <w:t>У циљу активације становништва на тржишту рада, потребне су реформе пореске политике које би повећале исплативост рада. У Србији, ефективно оптерећење порезима и доприносима</w:t>
      </w:r>
      <w:r>
        <w:rPr>
          <w:spacing w:val="-14"/>
        </w:rPr>
        <w:t> </w:t>
      </w:r>
      <w:r>
        <w:rPr/>
        <w:t>на</w:t>
      </w:r>
      <w:r>
        <w:rPr>
          <w:spacing w:val="-14"/>
        </w:rPr>
        <w:t> </w:t>
      </w:r>
      <w:r>
        <w:rPr/>
        <w:t>рад</w:t>
      </w:r>
      <w:r>
        <w:rPr>
          <w:spacing w:val="-13"/>
        </w:rPr>
        <w:t> </w:t>
      </w:r>
      <w:r>
        <w:rPr/>
        <w:t>сектора</w:t>
      </w:r>
      <w:r>
        <w:rPr>
          <w:spacing w:val="-13"/>
        </w:rPr>
        <w:t> </w:t>
      </w:r>
      <w:r>
        <w:rPr/>
        <w:t>високих</w:t>
      </w:r>
      <w:r>
        <w:rPr>
          <w:spacing w:val="-13"/>
        </w:rPr>
        <w:t> </w:t>
      </w:r>
      <w:r>
        <w:rPr/>
        <w:t>и</w:t>
      </w:r>
      <w:r>
        <w:rPr>
          <w:spacing w:val="-12"/>
        </w:rPr>
        <w:t> </w:t>
      </w:r>
      <w:r>
        <w:rPr/>
        <w:t>ниских</w:t>
      </w:r>
      <w:r>
        <w:rPr>
          <w:spacing w:val="-11"/>
        </w:rPr>
        <w:t> </w:t>
      </w:r>
      <w:r>
        <w:rPr/>
        <w:t>зарада,</w:t>
      </w:r>
      <w:r>
        <w:rPr>
          <w:spacing w:val="-9"/>
        </w:rPr>
        <w:t> </w:t>
      </w:r>
      <w:r>
        <w:rPr/>
        <w:t>односно</w:t>
      </w:r>
      <w:r>
        <w:rPr>
          <w:spacing w:val="-13"/>
        </w:rPr>
        <w:t> </w:t>
      </w:r>
      <w:r>
        <w:rPr/>
        <w:t>високих</w:t>
      </w:r>
      <w:r>
        <w:rPr>
          <w:spacing w:val="-13"/>
        </w:rPr>
        <w:t> </w:t>
      </w:r>
      <w:r>
        <w:rPr/>
        <w:t>и</w:t>
      </w:r>
      <w:r>
        <w:rPr>
          <w:spacing w:val="-12"/>
        </w:rPr>
        <w:t> </w:t>
      </w:r>
      <w:r>
        <w:rPr/>
        <w:t>ниских</w:t>
      </w:r>
      <w:r>
        <w:rPr>
          <w:spacing w:val="-11"/>
        </w:rPr>
        <w:t> </w:t>
      </w:r>
      <w:r>
        <w:rPr/>
        <w:t>просечних трошкова рада, скоро да се не разликује. Изузетно високо пореско оптерећење у делатностима ниских зарада рефлексија је пропорционалног система опорезивања рада (константна пореска стопа без обзира на ниво зараде) у чијој структури доминирају доприноси за обавезно социјално осигурање. Тај систем смањује конкурентност радно интензивних</w:t>
      </w:r>
      <w:r>
        <w:rPr>
          <w:spacing w:val="-12"/>
        </w:rPr>
        <w:t> </w:t>
      </w:r>
      <w:r>
        <w:rPr/>
        <w:t>делатности</w:t>
      </w:r>
      <w:r>
        <w:rPr>
          <w:spacing w:val="-10"/>
        </w:rPr>
        <w:t> </w:t>
      </w:r>
      <w:r>
        <w:rPr/>
        <w:t>и</w:t>
      </w:r>
      <w:r>
        <w:rPr>
          <w:spacing w:val="-10"/>
        </w:rPr>
        <w:t> </w:t>
      </w:r>
      <w:r>
        <w:rPr/>
        <w:t>дестимулише</w:t>
      </w:r>
      <w:r>
        <w:rPr>
          <w:spacing w:val="-12"/>
        </w:rPr>
        <w:t> </w:t>
      </w:r>
      <w:r>
        <w:rPr/>
        <w:t>инвестиције</w:t>
      </w:r>
      <w:r>
        <w:rPr>
          <w:spacing w:val="-9"/>
        </w:rPr>
        <w:t> </w:t>
      </w:r>
      <w:r>
        <w:rPr/>
        <w:t>у</w:t>
      </w:r>
      <w:r>
        <w:rPr>
          <w:spacing w:val="-15"/>
        </w:rPr>
        <w:t> </w:t>
      </w:r>
      <w:r>
        <w:rPr/>
        <w:t>њих,</w:t>
      </w:r>
      <w:r>
        <w:rPr>
          <w:spacing w:val="-11"/>
        </w:rPr>
        <w:t> </w:t>
      </w:r>
      <w:r>
        <w:rPr/>
        <w:t>што</w:t>
      </w:r>
      <w:r>
        <w:rPr>
          <w:spacing w:val="-8"/>
        </w:rPr>
        <w:t> </w:t>
      </w:r>
      <w:r>
        <w:rPr/>
        <w:t>утиче</w:t>
      </w:r>
      <w:r>
        <w:rPr>
          <w:spacing w:val="-12"/>
        </w:rPr>
        <w:t> </w:t>
      </w:r>
      <w:r>
        <w:rPr/>
        <w:t>на</w:t>
      </w:r>
      <w:r>
        <w:rPr>
          <w:spacing w:val="-12"/>
        </w:rPr>
        <w:t> </w:t>
      </w:r>
      <w:r>
        <w:rPr/>
        <w:t>раст</w:t>
      </w:r>
      <w:r>
        <w:rPr>
          <w:spacing w:val="-10"/>
        </w:rPr>
        <w:t> </w:t>
      </w:r>
      <w:r>
        <w:rPr/>
        <w:t>регионалних неједнакости,</w:t>
      </w:r>
      <w:r>
        <w:rPr>
          <w:spacing w:val="-1"/>
        </w:rPr>
        <w:t> </w:t>
      </w:r>
      <w:r>
        <w:rPr/>
        <w:t>и такође</w:t>
      </w:r>
      <w:r>
        <w:rPr>
          <w:spacing w:val="-2"/>
        </w:rPr>
        <w:t> </w:t>
      </w:r>
      <w:r>
        <w:rPr/>
        <w:t>чини ниже</w:t>
      </w:r>
      <w:r>
        <w:rPr>
          <w:spacing w:val="-2"/>
        </w:rPr>
        <w:t> </w:t>
      </w:r>
      <w:r>
        <w:rPr/>
        <w:t>плаћени формални рад</w:t>
      </w:r>
      <w:r>
        <w:rPr>
          <w:spacing w:val="-1"/>
        </w:rPr>
        <w:t> </w:t>
      </w:r>
      <w:r>
        <w:rPr/>
        <w:t>неисплативим за</w:t>
      </w:r>
      <w:r>
        <w:rPr>
          <w:spacing w:val="-2"/>
        </w:rPr>
        <w:t> </w:t>
      </w:r>
      <w:r>
        <w:rPr/>
        <w:t>раднике</w:t>
      </w:r>
      <w:r>
        <w:rPr>
          <w:spacing w:val="-2"/>
        </w:rPr>
        <w:t> </w:t>
      </w:r>
      <w:r>
        <w:rPr/>
        <w:t>и стога промовише</w:t>
      </w:r>
      <w:r>
        <w:rPr>
          <w:spacing w:val="-7"/>
        </w:rPr>
        <w:t> </w:t>
      </w:r>
      <w:r>
        <w:rPr/>
        <w:t>неформалну</w:t>
      </w:r>
      <w:r>
        <w:rPr>
          <w:spacing w:val="-8"/>
        </w:rPr>
        <w:t> </w:t>
      </w:r>
      <w:r>
        <w:rPr/>
        <w:t>запосленост</w:t>
      </w:r>
      <w:r>
        <w:rPr>
          <w:spacing w:val="-5"/>
        </w:rPr>
        <w:t> </w:t>
      </w:r>
      <w:r>
        <w:rPr/>
        <w:t>или</w:t>
      </w:r>
      <w:r>
        <w:rPr>
          <w:spacing w:val="-5"/>
        </w:rPr>
        <w:t> </w:t>
      </w:r>
      <w:r>
        <w:rPr/>
        <w:t>неактивност.</w:t>
      </w:r>
      <w:r>
        <w:rPr>
          <w:spacing w:val="-5"/>
        </w:rPr>
        <w:t> </w:t>
      </w:r>
      <w:r>
        <w:rPr/>
        <w:t>Иако</w:t>
      </w:r>
      <w:r>
        <w:rPr>
          <w:spacing w:val="-6"/>
        </w:rPr>
        <w:t> </w:t>
      </w:r>
      <w:r>
        <w:rPr/>
        <w:t>се</w:t>
      </w:r>
      <w:r>
        <w:rPr>
          <w:spacing w:val="-3"/>
        </w:rPr>
        <w:t> </w:t>
      </w:r>
      <w:r>
        <w:rPr/>
        <w:t>укупни</w:t>
      </w:r>
      <w:r>
        <w:rPr>
          <w:spacing w:val="-5"/>
        </w:rPr>
        <w:t> </w:t>
      </w:r>
      <w:r>
        <w:rPr/>
        <w:t>порески</w:t>
      </w:r>
      <w:r>
        <w:rPr>
          <w:spacing w:val="-5"/>
        </w:rPr>
        <w:t> </w:t>
      </w:r>
      <w:r>
        <w:rPr/>
        <w:t>клин</w:t>
      </w:r>
      <w:r>
        <w:rPr>
          <w:spacing w:val="-5"/>
        </w:rPr>
        <w:t> </w:t>
      </w:r>
      <w:r>
        <w:rPr/>
        <w:t>током претходних</w:t>
      </w:r>
      <w:r>
        <w:rPr>
          <w:spacing w:val="-11"/>
        </w:rPr>
        <w:t> </w:t>
      </w:r>
      <w:r>
        <w:rPr/>
        <w:t>година</w:t>
      </w:r>
      <w:r>
        <w:rPr>
          <w:spacing w:val="-14"/>
        </w:rPr>
        <w:t> </w:t>
      </w:r>
      <w:r>
        <w:rPr/>
        <w:t>смањио,</w:t>
      </w:r>
      <w:r>
        <w:rPr>
          <w:spacing w:val="-13"/>
        </w:rPr>
        <w:t> </w:t>
      </w:r>
      <w:r>
        <w:rPr/>
        <w:t>тако</w:t>
      </w:r>
      <w:r>
        <w:rPr>
          <w:spacing w:val="-12"/>
        </w:rPr>
        <w:t> </w:t>
      </w:r>
      <w:r>
        <w:rPr/>
        <w:t>што</w:t>
      </w:r>
      <w:r>
        <w:rPr>
          <w:spacing w:val="-12"/>
        </w:rPr>
        <w:t> </w:t>
      </w:r>
      <w:r>
        <w:rPr/>
        <w:t>се</w:t>
      </w:r>
      <w:r>
        <w:rPr>
          <w:spacing w:val="-14"/>
        </w:rPr>
        <w:t> </w:t>
      </w:r>
      <w:r>
        <w:rPr/>
        <w:t>повећао</w:t>
      </w:r>
      <w:r>
        <w:rPr>
          <w:spacing w:val="-13"/>
        </w:rPr>
        <w:t> </w:t>
      </w:r>
      <w:r>
        <w:rPr/>
        <w:t>неопорезиви</w:t>
      </w:r>
      <w:r>
        <w:rPr>
          <w:spacing w:val="-15"/>
        </w:rPr>
        <w:t> </w:t>
      </w:r>
      <w:r>
        <w:rPr/>
        <w:t>износ</w:t>
      </w:r>
      <w:r>
        <w:rPr>
          <w:spacing w:val="-14"/>
        </w:rPr>
        <w:t> </w:t>
      </w:r>
      <w:r>
        <w:rPr/>
        <w:t>зараде</w:t>
      </w:r>
      <w:r>
        <w:rPr>
          <w:spacing w:val="-14"/>
        </w:rPr>
        <w:t> </w:t>
      </w:r>
      <w:r>
        <w:rPr/>
        <w:t>и</w:t>
      </w:r>
      <w:r>
        <w:rPr>
          <w:spacing w:val="-12"/>
        </w:rPr>
        <w:t> </w:t>
      </w:r>
      <w:r>
        <w:rPr/>
        <w:t>смањиле</w:t>
      </w:r>
      <w:r>
        <w:rPr>
          <w:spacing w:val="-14"/>
        </w:rPr>
        <w:t> </w:t>
      </w:r>
      <w:r>
        <w:rPr/>
        <w:t>стопе доприноса за обавезно социјално осигурање, он је и даље несразмерно висок за људе са ниским платама и стога представља препреку за формализацију рада.</w:t>
      </w:r>
    </w:p>
    <w:p>
      <w:pPr>
        <w:pStyle w:val="BodyText"/>
        <w:spacing w:after="0"/>
        <w:sectPr>
          <w:pgSz w:w="12240" w:h="15840"/>
          <w:pgMar w:header="0" w:footer="702" w:top="1360" w:bottom="900" w:left="1080" w:right="720"/>
        </w:sectPr>
      </w:pPr>
    </w:p>
    <w:p>
      <w:pPr>
        <w:pStyle w:val="BodyText"/>
        <w:spacing w:before="72"/>
        <w:ind w:right="720" w:firstLine="719"/>
      </w:pPr>
      <w:r>
        <w:rPr/>
        <w:t>Посматрано из перспективе сигурности посла, континуирано повећање учешћа привремене</w:t>
      </w:r>
      <w:r>
        <w:rPr>
          <w:spacing w:val="-2"/>
        </w:rPr>
        <w:t> </w:t>
      </w:r>
      <w:r>
        <w:rPr/>
        <w:t>запослености у</w:t>
      </w:r>
      <w:r>
        <w:rPr>
          <w:spacing w:val="-9"/>
        </w:rPr>
        <w:t> </w:t>
      </w:r>
      <w:r>
        <w:rPr/>
        <w:t>претходној</w:t>
      </w:r>
      <w:r>
        <w:rPr>
          <w:spacing w:val="-1"/>
        </w:rPr>
        <w:t> </w:t>
      </w:r>
      <w:r>
        <w:rPr/>
        <w:t>деценији,</w:t>
      </w:r>
      <w:r>
        <w:rPr>
          <w:spacing w:val="-1"/>
        </w:rPr>
        <w:t> </w:t>
      </w:r>
      <w:r>
        <w:rPr/>
        <w:t>довело</w:t>
      </w:r>
      <w:r>
        <w:rPr>
          <w:spacing w:val="-1"/>
        </w:rPr>
        <w:t> </w:t>
      </w:r>
      <w:r>
        <w:rPr/>
        <w:t>је</w:t>
      </w:r>
      <w:r>
        <w:rPr>
          <w:spacing w:val="-2"/>
        </w:rPr>
        <w:t> </w:t>
      </w:r>
      <w:r>
        <w:rPr/>
        <w:t>до</w:t>
      </w:r>
      <w:r>
        <w:rPr>
          <w:spacing w:val="-3"/>
        </w:rPr>
        <w:t> </w:t>
      </w:r>
      <w:r>
        <w:rPr/>
        <w:t>тога</w:t>
      </w:r>
      <w:r>
        <w:rPr>
          <w:spacing w:val="-2"/>
        </w:rPr>
        <w:t> </w:t>
      </w:r>
      <w:r>
        <w:rPr/>
        <w:t>да</w:t>
      </w:r>
      <w:r>
        <w:rPr>
          <w:spacing w:val="-4"/>
        </w:rPr>
        <w:t> </w:t>
      </w:r>
      <w:r>
        <w:rPr/>
        <w:t>у</w:t>
      </w:r>
      <w:r>
        <w:rPr>
          <w:spacing w:val="-4"/>
        </w:rPr>
        <w:t> </w:t>
      </w:r>
      <w:r>
        <w:rPr/>
        <w:t>2019.</w:t>
      </w:r>
      <w:r>
        <w:rPr>
          <w:spacing w:val="-1"/>
        </w:rPr>
        <w:t> </w:t>
      </w:r>
      <w:r>
        <w:rPr/>
        <w:t>години скоро сваки</w:t>
      </w:r>
      <w:r>
        <w:rPr>
          <w:spacing w:val="-15"/>
        </w:rPr>
        <w:t> </w:t>
      </w:r>
      <w:r>
        <w:rPr/>
        <w:t>четврти</w:t>
      </w:r>
      <w:r>
        <w:rPr>
          <w:spacing w:val="-15"/>
        </w:rPr>
        <w:t> </w:t>
      </w:r>
      <w:r>
        <w:rPr/>
        <w:t>радник</w:t>
      </w:r>
      <w:r>
        <w:rPr>
          <w:spacing w:val="-15"/>
        </w:rPr>
        <w:t> </w:t>
      </w:r>
      <w:r>
        <w:rPr/>
        <w:t>у</w:t>
      </w:r>
      <w:r>
        <w:rPr>
          <w:spacing w:val="-15"/>
        </w:rPr>
        <w:t> </w:t>
      </w:r>
      <w:r>
        <w:rPr/>
        <w:t>Србији</w:t>
      </w:r>
      <w:r>
        <w:rPr>
          <w:spacing w:val="-15"/>
        </w:rPr>
        <w:t> </w:t>
      </w:r>
      <w:r>
        <w:rPr/>
        <w:t>има</w:t>
      </w:r>
      <w:r>
        <w:rPr>
          <w:spacing w:val="-15"/>
        </w:rPr>
        <w:t> </w:t>
      </w:r>
      <w:r>
        <w:rPr/>
        <w:t>привремено</w:t>
      </w:r>
      <w:r>
        <w:rPr>
          <w:spacing w:val="-15"/>
        </w:rPr>
        <w:t> </w:t>
      </w:r>
      <w:r>
        <w:rPr/>
        <w:t>запослење</w:t>
      </w:r>
      <w:r>
        <w:rPr>
          <w:spacing w:val="-15"/>
        </w:rPr>
        <w:t> </w:t>
      </w:r>
      <w:r>
        <w:rPr/>
        <w:t>(око</w:t>
      </w:r>
      <w:r>
        <w:rPr>
          <w:spacing w:val="-15"/>
        </w:rPr>
        <w:t> </w:t>
      </w:r>
      <w:r>
        <w:rPr/>
        <w:t>23%</w:t>
      </w:r>
      <w:r>
        <w:rPr>
          <w:spacing w:val="-15"/>
        </w:rPr>
        <w:t> </w:t>
      </w:r>
      <w:r>
        <w:rPr/>
        <w:t>ради</w:t>
      </w:r>
      <w:r>
        <w:rPr>
          <w:spacing w:val="-15"/>
        </w:rPr>
        <w:t> </w:t>
      </w:r>
      <w:r>
        <w:rPr/>
        <w:t>на</w:t>
      </w:r>
      <w:r>
        <w:rPr>
          <w:spacing w:val="-15"/>
        </w:rPr>
        <w:t> </w:t>
      </w:r>
      <w:r>
        <w:rPr/>
        <w:t>одређено</w:t>
      </w:r>
      <w:r>
        <w:rPr>
          <w:spacing w:val="-15"/>
        </w:rPr>
        <w:t> </w:t>
      </w:r>
      <w:r>
        <w:rPr/>
        <w:t>време или је радно ангажовано), што је за око 10 процентних поена више него што је просек ЕУ 28 (Евростат). Облици привременог запошљавања за циљ имају флексибилизацију рада у циљу усклађивања животних обавеза и постизања баланса између приватног и пословног живота. Тако и јесте на нивоу ЕУ где тек свака тринаеста особа ради путем привременог уговора из разлога што није могла да нађе посао са уговором на неодређено време. Међутим,</w:t>
      </w:r>
      <w:r>
        <w:rPr>
          <w:spacing w:val="-15"/>
        </w:rPr>
        <w:t> </w:t>
      </w:r>
      <w:r>
        <w:rPr/>
        <w:t>привремени</w:t>
      </w:r>
      <w:r>
        <w:rPr>
          <w:spacing w:val="-15"/>
        </w:rPr>
        <w:t> </w:t>
      </w:r>
      <w:r>
        <w:rPr/>
        <w:t>рад</w:t>
      </w:r>
      <w:r>
        <w:rPr>
          <w:spacing w:val="-15"/>
        </w:rPr>
        <w:t> </w:t>
      </w:r>
      <w:r>
        <w:rPr/>
        <w:t>углавном</w:t>
      </w:r>
      <w:r>
        <w:rPr>
          <w:spacing w:val="-15"/>
        </w:rPr>
        <w:t> </w:t>
      </w:r>
      <w:r>
        <w:rPr/>
        <w:t>не</w:t>
      </w:r>
      <w:r>
        <w:rPr>
          <w:spacing w:val="-15"/>
        </w:rPr>
        <w:t> </w:t>
      </w:r>
      <w:r>
        <w:rPr/>
        <w:t>представља</w:t>
      </w:r>
      <w:r>
        <w:rPr>
          <w:spacing w:val="-15"/>
        </w:rPr>
        <w:t> </w:t>
      </w:r>
      <w:r>
        <w:rPr/>
        <w:t>избор,</w:t>
      </w:r>
      <w:r>
        <w:rPr>
          <w:spacing w:val="-15"/>
        </w:rPr>
        <w:t> </w:t>
      </w:r>
      <w:r>
        <w:rPr/>
        <w:t>већ</w:t>
      </w:r>
      <w:r>
        <w:rPr>
          <w:spacing w:val="-15"/>
        </w:rPr>
        <w:t> </w:t>
      </w:r>
      <w:r>
        <w:rPr/>
        <w:t>нужду</w:t>
      </w:r>
      <w:r>
        <w:rPr>
          <w:spacing w:val="-15"/>
        </w:rPr>
        <w:t> </w:t>
      </w:r>
      <w:r>
        <w:rPr/>
        <w:t>услед</w:t>
      </w:r>
      <w:r>
        <w:rPr>
          <w:spacing w:val="-15"/>
        </w:rPr>
        <w:t> </w:t>
      </w:r>
      <w:r>
        <w:rPr/>
        <w:t>недостатка</w:t>
      </w:r>
      <w:r>
        <w:rPr>
          <w:spacing w:val="-15"/>
        </w:rPr>
        <w:t> </w:t>
      </w:r>
      <w:r>
        <w:rPr/>
        <w:t>боље понуде,</w:t>
      </w:r>
      <w:r>
        <w:rPr>
          <w:spacing w:val="-15"/>
        </w:rPr>
        <w:t> </w:t>
      </w:r>
      <w:r>
        <w:rPr/>
        <w:t>тј.</w:t>
      </w:r>
      <w:r>
        <w:rPr>
          <w:spacing w:val="-15"/>
        </w:rPr>
        <w:t> </w:t>
      </w:r>
      <w:r>
        <w:rPr/>
        <w:t>уговора</w:t>
      </w:r>
      <w:r>
        <w:rPr>
          <w:spacing w:val="-15"/>
        </w:rPr>
        <w:t> </w:t>
      </w:r>
      <w:r>
        <w:rPr/>
        <w:t>на</w:t>
      </w:r>
      <w:r>
        <w:rPr>
          <w:spacing w:val="-15"/>
        </w:rPr>
        <w:t> </w:t>
      </w:r>
      <w:r>
        <w:rPr/>
        <w:t>неодређено</w:t>
      </w:r>
      <w:r>
        <w:rPr>
          <w:spacing w:val="-15"/>
        </w:rPr>
        <w:t> </w:t>
      </w:r>
      <w:r>
        <w:rPr/>
        <w:t>време.</w:t>
      </w:r>
      <w:r>
        <w:rPr>
          <w:spacing w:val="-15"/>
        </w:rPr>
        <w:t> </w:t>
      </w:r>
      <w:r>
        <w:rPr/>
        <w:t>Сваки</w:t>
      </w:r>
      <w:r>
        <w:rPr>
          <w:spacing w:val="-15"/>
        </w:rPr>
        <w:t> </w:t>
      </w:r>
      <w:r>
        <w:rPr/>
        <w:t>пети</w:t>
      </w:r>
      <w:r>
        <w:rPr>
          <w:spacing w:val="-15"/>
        </w:rPr>
        <w:t> </w:t>
      </w:r>
      <w:r>
        <w:rPr/>
        <w:t>привремено</w:t>
      </w:r>
      <w:r>
        <w:rPr>
          <w:spacing w:val="-15"/>
        </w:rPr>
        <w:t> </w:t>
      </w:r>
      <w:r>
        <w:rPr/>
        <w:t>запослени</w:t>
      </w:r>
      <w:r>
        <w:rPr>
          <w:spacing w:val="-15"/>
        </w:rPr>
        <w:t> </w:t>
      </w:r>
      <w:r>
        <w:rPr/>
        <w:t>радник</w:t>
      </w:r>
      <w:r>
        <w:rPr>
          <w:spacing w:val="-15"/>
        </w:rPr>
        <w:t> </w:t>
      </w:r>
      <w:r>
        <w:rPr/>
        <w:t>у</w:t>
      </w:r>
      <w:r>
        <w:rPr>
          <w:spacing w:val="-15"/>
        </w:rPr>
        <w:t> </w:t>
      </w:r>
      <w:r>
        <w:rPr/>
        <w:t>Србији прихвата ову врсту рада само због тога што није могао да пронађе посао са уговором на неодређено време</w:t>
      </w:r>
      <w:r>
        <w:rPr>
          <w:color w:val="FF0000"/>
        </w:rPr>
        <w:t>. </w:t>
      </w:r>
      <w:r>
        <w:rPr/>
        <w:t>Слична је ситуација и за запосленост са радним временом краћим од пуног, јер око 37% запослених са непуним радним временом обавља овај посао само због тога</w:t>
      </w:r>
      <w:r>
        <w:rPr>
          <w:spacing w:val="-15"/>
        </w:rPr>
        <w:t> </w:t>
      </w:r>
      <w:r>
        <w:rPr/>
        <w:t>што</w:t>
      </w:r>
      <w:r>
        <w:rPr>
          <w:spacing w:val="-15"/>
        </w:rPr>
        <w:t> </w:t>
      </w:r>
      <w:r>
        <w:rPr/>
        <w:t>није</w:t>
      </w:r>
      <w:r>
        <w:rPr>
          <w:spacing w:val="-15"/>
        </w:rPr>
        <w:t> </w:t>
      </w:r>
      <w:r>
        <w:rPr/>
        <w:t>успео</w:t>
      </w:r>
      <w:r>
        <w:rPr>
          <w:spacing w:val="-15"/>
        </w:rPr>
        <w:t> </w:t>
      </w:r>
      <w:r>
        <w:rPr/>
        <w:t>да</w:t>
      </w:r>
      <w:r>
        <w:rPr>
          <w:spacing w:val="-15"/>
        </w:rPr>
        <w:t> </w:t>
      </w:r>
      <w:r>
        <w:rPr/>
        <w:t>пронађе</w:t>
      </w:r>
      <w:r>
        <w:rPr>
          <w:spacing w:val="-15"/>
        </w:rPr>
        <w:t> </w:t>
      </w:r>
      <w:r>
        <w:rPr/>
        <w:t>посао</w:t>
      </w:r>
      <w:r>
        <w:rPr>
          <w:spacing w:val="-15"/>
        </w:rPr>
        <w:t> </w:t>
      </w:r>
      <w:r>
        <w:rPr/>
        <w:t>са</w:t>
      </w:r>
      <w:r>
        <w:rPr>
          <w:spacing w:val="-15"/>
        </w:rPr>
        <w:t> </w:t>
      </w:r>
      <w:r>
        <w:rPr/>
        <w:t>пуним</w:t>
      </w:r>
      <w:r>
        <w:rPr>
          <w:spacing w:val="-13"/>
        </w:rPr>
        <w:t> </w:t>
      </w:r>
      <w:r>
        <w:rPr/>
        <w:t>радним</w:t>
      </w:r>
      <w:r>
        <w:rPr>
          <w:spacing w:val="-15"/>
        </w:rPr>
        <w:t> </w:t>
      </w:r>
      <w:r>
        <w:rPr/>
        <w:t>временом.</w:t>
      </w:r>
      <w:r>
        <w:rPr>
          <w:spacing w:val="-15"/>
        </w:rPr>
        <w:t> </w:t>
      </w:r>
      <w:r>
        <w:rPr/>
        <w:t>Компарације</w:t>
      </w:r>
      <w:r>
        <w:rPr>
          <w:spacing w:val="-15"/>
        </w:rPr>
        <w:t> </w:t>
      </w:r>
      <w:r>
        <w:rPr/>
        <w:t>ради,</w:t>
      </w:r>
      <w:r>
        <w:rPr>
          <w:spacing w:val="-15"/>
        </w:rPr>
        <w:t> </w:t>
      </w:r>
      <w:r>
        <w:rPr/>
        <w:t>просек овог учешћа за земље ЕУ износи 24%.</w:t>
      </w:r>
    </w:p>
    <w:p>
      <w:pPr>
        <w:pStyle w:val="BodyText"/>
        <w:spacing w:before="121"/>
        <w:ind w:right="713" w:firstLine="719"/>
      </w:pPr>
      <w:r>
        <w:rPr/>
        <w:t>Потребно је преиспитати регулативу и примену законских института који подржавају</w:t>
      </w:r>
      <w:r>
        <w:rPr>
          <w:spacing w:val="-15"/>
        </w:rPr>
        <w:t> </w:t>
      </w:r>
      <w:r>
        <w:rPr/>
        <w:t>раст</w:t>
      </w:r>
      <w:r>
        <w:rPr>
          <w:spacing w:val="-15"/>
        </w:rPr>
        <w:t> </w:t>
      </w:r>
      <w:r>
        <w:rPr/>
        <w:t>прекарне</w:t>
      </w:r>
      <w:r>
        <w:rPr>
          <w:spacing w:val="-15"/>
        </w:rPr>
        <w:t> </w:t>
      </w:r>
      <w:r>
        <w:rPr/>
        <w:t>запослености</w:t>
      </w:r>
      <w:r>
        <w:rPr>
          <w:spacing w:val="-15"/>
        </w:rPr>
        <w:t> </w:t>
      </w:r>
      <w:r>
        <w:rPr/>
        <w:t>за</w:t>
      </w:r>
      <w:r>
        <w:rPr>
          <w:spacing w:val="-15"/>
        </w:rPr>
        <w:t> </w:t>
      </w:r>
      <w:r>
        <w:rPr/>
        <w:t>коју</w:t>
      </w:r>
      <w:r>
        <w:rPr>
          <w:spacing w:val="-15"/>
        </w:rPr>
        <w:t> </w:t>
      </w:r>
      <w:r>
        <w:rPr/>
        <w:t>су</w:t>
      </w:r>
      <w:r>
        <w:rPr>
          <w:spacing w:val="-15"/>
        </w:rPr>
        <w:t> </w:t>
      </w:r>
      <w:r>
        <w:rPr/>
        <w:t>карактеристични</w:t>
      </w:r>
      <w:r>
        <w:rPr>
          <w:spacing w:val="-15"/>
        </w:rPr>
        <w:t> </w:t>
      </w:r>
      <w:r>
        <w:rPr/>
        <w:t>уговори</w:t>
      </w:r>
      <w:r>
        <w:rPr>
          <w:spacing w:val="-15"/>
        </w:rPr>
        <w:t> </w:t>
      </w:r>
      <w:r>
        <w:rPr/>
        <w:t>са</w:t>
      </w:r>
      <w:r>
        <w:rPr>
          <w:spacing w:val="-15"/>
        </w:rPr>
        <w:t> </w:t>
      </w:r>
      <w:r>
        <w:rPr/>
        <w:t>ограниченим трајањем,</w:t>
      </w:r>
      <w:r>
        <w:rPr>
          <w:spacing w:val="-8"/>
        </w:rPr>
        <w:t> </w:t>
      </w:r>
      <w:r>
        <w:rPr/>
        <w:t>као</w:t>
      </w:r>
      <w:r>
        <w:rPr>
          <w:spacing w:val="-8"/>
        </w:rPr>
        <w:t> </w:t>
      </w:r>
      <w:r>
        <w:rPr/>
        <w:t>што</w:t>
      </w:r>
      <w:r>
        <w:rPr>
          <w:spacing w:val="-8"/>
        </w:rPr>
        <w:t> </w:t>
      </w:r>
      <w:r>
        <w:rPr/>
        <w:t>су</w:t>
      </w:r>
      <w:r>
        <w:rPr>
          <w:spacing w:val="-8"/>
        </w:rPr>
        <w:t> </w:t>
      </w:r>
      <w:r>
        <w:rPr/>
        <w:t>уговор</w:t>
      </w:r>
      <w:r>
        <w:rPr>
          <w:spacing w:val="-9"/>
        </w:rPr>
        <w:t> </w:t>
      </w:r>
      <w:r>
        <w:rPr/>
        <w:t>о</w:t>
      </w:r>
      <w:r>
        <w:rPr>
          <w:spacing w:val="-8"/>
        </w:rPr>
        <w:t> </w:t>
      </w:r>
      <w:r>
        <w:rPr/>
        <w:t>делу,</w:t>
      </w:r>
      <w:r>
        <w:rPr>
          <w:spacing w:val="-4"/>
        </w:rPr>
        <w:t> </w:t>
      </w:r>
      <w:r>
        <w:rPr/>
        <w:t>уговор</w:t>
      </w:r>
      <w:r>
        <w:rPr>
          <w:spacing w:val="-9"/>
        </w:rPr>
        <w:t> </w:t>
      </w:r>
      <w:r>
        <w:rPr/>
        <w:t>о</w:t>
      </w:r>
      <w:r>
        <w:rPr>
          <w:spacing w:val="-8"/>
        </w:rPr>
        <w:t> </w:t>
      </w:r>
      <w:r>
        <w:rPr/>
        <w:t>привременим</w:t>
      </w:r>
      <w:r>
        <w:rPr>
          <w:spacing w:val="-9"/>
        </w:rPr>
        <w:t> </w:t>
      </w:r>
      <w:r>
        <w:rPr/>
        <w:t>и</w:t>
      </w:r>
      <w:r>
        <w:rPr>
          <w:spacing w:val="-7"/>
        </w:rPr>
        <w:t> </w:t>
      </w:r>
      <w:r>
        <w:rPr/>
        <w:t>повременим</w:t>
      </w:r>
      <w:r>
        <w:rPr>
          <w:spacing w:val="-9"/>
        </w:rPr>
        <w:t> </w:t>
      </w:r>
      <w:r>
        <w:rPr/>
        <w:t>пословима,</w:t>
      </w:r>
      <w:r>
        <w:rPr>
          <w:spacing w:val="-8"/>
        </w:rPr>
        <w:t> </w:t>
      </w:r>
      <w:r>
        <w:rPr/>
        <w:t>радно ангажовање преко студентских или омладинских задруга, агенцијско запошљавање. Та пракса је заступљена и у јавном и у приватном сектору, тако да захтева додатне напоре да се примена уговора стави у законом прописане оквире који под овом врстом уговора подразумевају начине ангажовања у специфичним ситуацијама са ограниченим временом </w:t>
      </w:r>
      <w:r>
        <w:rPr>
          <w:spacing w:val="-2"/>
        </w:rPr>
        <w:t>трајања.</w:t>
      </w:r>
    </w:p>
    <w:p>
      <w:pPr>
        <w:pStyle w:val="BodyText"/>
        <w:spacing w:before="177"/>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7"/>
        <w:gridCol w:w="4366"/>
      </w:tblGrid>
      <w:tr>
        <w:trPr>
          <w:trHeight w:val="265" w:hRule="atLeast"/>
        </w:trPr>
        <w:tc>
          <w:tcPr>
            <w:tcW w:w="1997" w:type="dxa"/>
          </w:tcPr>
          <w:p>
            <w:pPr>
              <w:pStyle w:val="TableParagraph"/>
              <w:spacing w:line="246" w:lineRule="exact"/>
              <w:ind w:left="50"/>
              <w:rPr>
                <w:i/>
                <w:sz w:val="24"/>
              </w:rPr>
            </w:pPr>
            <w:r>
              <w:rPr>
                <w:i/>
                <w:sz w:val="24"/>
              </w:rPr>
              <w:t>Врста/тип</w:t>
            </w:r>
            <w:r>
              <w:rPr>
                <w:i/>
                <w:spacing w:val="-4"/>
                <w:sz w:val="24"/>
              </w:rPr>
              <w:t> мере:</w:t>
            </w:r>
          </w:p>
        </w:tc>
        <w:tc>
          <w:tcPr>
            <w:tcW w:w="4366" w:type="dxa"/>
          </w:tcPr>
          <w:p>
            <w:pPr>
              <w:pStyle w:val="TableParagraph"/>
              <w:spacing w:line="246" w:lineRule="exact"/>
              <w:ind w:left="174"/>
              <w:rPr>
                <w:sz w:val="24"/>
              </w:rPr>
            </w:pPr>
            <w:r>
              <w:rPr>
                <w:sz w:val="24"/>
              </w:rPr>
              <w:t>Комбинована:</w:t>
            </w:r>
            <w:r>
              <w:rPr>
                <w:spacing w:val="-6"/>
                <w:sz w:val="24"/>
              </w:rPr>
              <w:t> </w:t>
            </w:r>
            <w:r>
              <w:rPr>
                <w:sz w:val="24"/>
              </w:rPr>
              <w:t>регулаторна;</w:t>
            </w:r>
            <w:r>
              <w:rPr>
                <w:spacing w:val="-3"/>
                <w:sz w:val="24"/>
              </w:rPr>
              <w:t> </w:t>
            </w:r>
            <w:r>
              <w:rPr>
                <w:spacing w:val="-2"/>
                <w:sz w:val="24"/>
              </w:rPr>
              <w:t>подстицајна</w:t>
            </w:r>
          </w:p>
        </w:tc>
      </w:tr>
    </w:tbl>
    <w:p>
      <w:pPr>
        <w:pStyle w:val="BodyText"/>
        <w:ind w:left="0"/>
        <w:jc w:val="left"/>
      </w:pPr>
    </w:p>
    <w:p>
      <w:pPr>
        <w:pStyle w:val="BodyText"/>
        <w:spacing w:before="34"/>
        <w:ind w:left="0"/>
        <w:jc w:val="left"/>
      </w:pPr>
    </w:p>
    <w:p>
      <w:pPr>
        <w:pStyle w:val="Heading2"/>
      </w:pPr>
      <w:r>
        <w:rPr/>
        <w:t>Мера</w:t>
      </w:r>
      <w:r>
        <w:rPr>
          <w:spacing w:val="-1"/>
        </w:rPr>
        <w:t> </w:t>
      </w:r>
      <w:r>
        <w:rPr/>
        <w:t>1.3.</w:t>
      </w:r>
      <w:r>
        <w:rPr>
          <w:spacing w:val="-1"/>
        </w:rPr>
        <w:t> </w:t>
      </w:r>
      <w:r>
        <w:rPr/>
        <w:t>-</w:t>
      </w:r>
      <w:r>
        <w:rPr>
          <w:spacing w:val="-2"/>
        </w:rPr>
        <w:t> </w:t>
      </w:r>
      <w:r>
        <w:rPr/>
        <w:t>Креирање</w:t>
      </w:r>
      <w:r>
        <w:rPr>
          <w:spacing w:val="-1"/>
        </w:rPr>
        <w:t> </w:t>
      </w:r>
      <w:r>
        <w:rPr>
          <w:spacing w:val="-2"/>
        </w:rPr>
        <w:t>послова</w:t>
      </w:r>
    </w:p>
    <w:p>
      <w:pPr>
        <w:pStyle w:val="BodyText"/>
        <w:spacing w:before="36"/>
        <w:ind w:left="0"/>
        <w:jc w:val="left"/>
        <w:rPr>
          <w:b/>
        </w:rPr>
      </w:pPr>
    </w:p>
    <w:p>
      <w:pPr>
        <w:pStyle w:val="BodyText"/>
        <w:ind w:right="713" w:firstLine="719"/>
      </w:pPr>
      <w:r>
        <w:rPr/>
        <w:t>Mере подршке директним инвестицијама имају велики утицај како на обим, тако и на секторску, квалификациону и регионалну структуру запослености. Политика привлачења директних инвестиција спроводи се у Србији већ више од 15 година. Са становишта секторског креирања послова, скоро 80% инвестиција било је у делатностима произвођачке индустрије. То су типично радноинтензивне делатности са исподпросечним примањима. Док са становишта креирања нове вредности и потенцијалне улоге СДИ као мотора модернизације српске економије то није пожељан развој, са становишта повећања запослености и смањивања регионалних разлика ови исходи нису непожељни.</w:t>
      </w:r>
    </w:p>
    <w:p>
      <w:pPr>
        <w:pStyle w:val="BodyText"/>
        <w:spacing w:before="121"/>
        <w:ind w:right="715" w:firstLine="719"/>
      </w:pPr>
      <w:r>
        <w:rPr/>
        <w:t>Мере за подстицање привлачења инвестиција представљају вид подршке економском развоју и запослености у приватном сектору, а инвеститорима се оставља слобода</w:t>
      </w:r>
      <w:r>
        <w:rPr>
          <w:spacing w:val="-2"/>
        </w:rPr>
        <w:t> </w:t>
      </w:r>
      <w:r>
        <w:rPr/>
        <w:t>избора</w:t>
      </w:r>
      <w:r>
        <w:rPr>
          <w:spacing w:val="-2"/>
        </w:rPr>
        <w:t> </w:t>
      </w:r>
      <w:r>
        <w:rPr/>
        <w:t>радника,</w:t>
      </w:r>
      <w:r>
        <w:rPr>
          <w:spacing w:val="-1"/>
        </w:rPr>
        <w:t> </w:t>
      </w:r>
      <w:r>
        <w:rPr/>
        <w:t>независно</w:t>
      </w:r>
      <w:r>
        <w:rPr>
          <w:spacing w:val="-1"/>
        </w:rPr>
        <w:t> </w:t>
      </w:r>
      <w:r>
        <w:rPr/>
        <w:t>од</w:t>
      </w:r>
      <w:r>
        <w:rPr>
          <w:spacing w:val="-1"/>
        </w:rPr>
        <w:t> </w:t>
      </w:r>
      <w:r>
        <w:rPr/>
        <w:t>тога</w:t>
      </w:r>
      <w:r>
        <w:rPr>
          <w:spacing w:val="-2"/>
        </w:rPr>
        <w:t> </w:t>
      </w:r>
      <w:r>
        <w:rPr/>
        <w:t>да</w:t>
      </w:r>
      <w:r>
        <w:rPr>
          <w:spacing w:val="-4"/>
        </w:rPr>
        <w:t> </w:t>
      </w:r>
      <w:r>
        <w:rPr/>
        <w:t>ли су</w:t>
      </w:r>
      <w:r>
        <w:rPr>
          <w:spacing w:val="-9"/>
        </w:rPr>
        <w:t> </w:t>
      </w:r>
      <w:r>
        <w:rPr/>
        <w:t>они регистровани као</w:t>
      </w:r>
      <w:r>
        <w:rPr>
          <w:spacing w:val="-1"/>
        </w:rPr>
        <w:t> </w:t>
      </w:r>
      <w:r>
        <w:rPr/>
        <w:t>незапослени или не, да ли су се запослили преласком са другог посла и да ли припадају некој од рањивих група.</w:t>
      </w:r>
      <w:r>
        <w:rPr>
          <w:spacing w:val="-12"/>
        </w:rPr>
        <w:t> </w:t>
      </w:r>
      <w:r>
        <w:rPr/>
        <w:t>Редефинисање</w:t>
      </w:r>
      <w:r>
        <w:rPr>
          <w:spacing w:val="-13"/>
        </w:rPr>
        <w:t> </w:t>
      </w:r>
      <w:r>
        <w:rPr/>
        <w:t>постојећег</w:t>
      </w:r>
      <w:r>
        <w:rPr>
          <w:spacing w:val="-12"/>
        </w:rPr>
        <w:t> </w:t>
      </w:r>
      <w:r>
        <w:rPr/>
        <w:t>начина</w:t>
      </w:r>
      <w:r>
        <w:rPr>
          <w:spacing w:val="-13"/>
        </w:rPr>
        <w:t> </w:t>
      </w:r>
      <w:r>
        <w:rPr/>
        <w:t>доделе</w:t>
      </w:r>
      <w:r>
        <w:rPr>
          <w:spacing w:val="-10"/>
        </w:rPr>
        <w:t> </w:t>
      </w:r>
      <w:r>
        <w:rPr/>
        <w:t>средстава</w:t>
      </w:r>
      <w:r>
        <w:rPr>
          <w:spacing w:val="-13"/>
        </w:rPr>
        <w:t> </w:t>
      </w:r>
      <w:r>
        <w:rPr/>
        <w:t>подстицаја,</w:t>
      </w:r>
      <w:r>
        <w:rPr>
          <w:spacing w:val="-14"/>
        </w:rPr>
        <w:t> </w:t>
      </w:r>
      <w:r>
        <w:rPr/>
        <w:t>који</w:t>
      </w:r>
      <w:r>
        <w:rPr>
          <w:spacing w:val="-12"/>
        </w:rPr>
        <w:t> </w:t>
      </w:r>
      <w:r>
        <w:rPr/>
        <w:t>би</w:t>
      </w:r>
      <w:r>
        <w:rPr>
          <w:spacing w:val="-13"/>
        </w:rPr>
        <w:t> </w:t>
      </w:r>
      <w:r>
        <w:rPr/>
        <w:t>подразумевао давање приоритета за запошљавање лицима из категорија теже запошљивих кроз утврђивање њиховог учешћа у укупном броју запослених нових радника средствима подстицаја</w:t>
      </w:r>
      <w:r>
        <w:rPr>
          <w:spacing w:val="35"/>
        </w:rPr>
        <w:t> </w:t>
      </w:r>
      <w:r>
        <w:rPr/>
        <w:t>или</w:t>
      </w:r>
      <w:r>
        <w:rPr>
          <w:spacing w:val="36"/>
        </w:rPr>
        <w:t> </w:t>
      </w:r>
      <w:r>
        <w:rPr/>
        <w:t>одобравањем</w:t>
      </w:r>
      <w:r>
        <w:rPr>
          <w:spacing w:val="34"/>
        </w:rPr>
        <w:t> </w:t>
      </w:r>
      <w:r>
        <w:rPr/>
        <w:t>већег</w:t>
      </w:r>
      <w:r>
        <w:rPr>
          <w:spacing w:val="35"/>
        </w:rPr>
        <w:t> </w:t>
      </w:r>
      <w:r>
        <w:rPr/>
        <w:t>износа</w:t>
      </w:r>
      <w:r>
        <w:rPr>
          <w:spacing w:val="34"/>
        </w:rPr>
        <w:t> </w:t>
      </w:r>
      <w:r>
        <w:rPr/>
        <w:t>подстицаја</w:t>
      </w:r>
      <w:r>
        <w:rPr>
          <w:spacing w:val="37"/>
        </w:rPr>
        <w:t> </w:t>
      </w:r>
      <w:r>
        <w:rPr/>
        <w:t>у</w:t>
      </w:r>
      <w:r>
        <w:rPr>
          <w:spacing w:val="30"/>
        </w:rPr>
        <w:t> </w:t>
      </w:r>
      <w:r>
        <w:rPr/>
        <w:t>случајевима</w:t>
      </w:r>
      <w:r>
        <w:rPr>
          <w:spacing w:val="36"/>
        </w:rPr>
        <w:t> </w:t>
      </w:r>
      <w:r>
        <w:rPr/>
        <w:t>запошљавања</w:t>
      </w:r>
      <w:r>
        <w:rPr>
          <w:spacing w:val="34"/>
        </w:rPr>
        <w:t> </w:t>
      </w:r>
      <w:r>
        <w:rPr/>
        <w:t>теже</w:t>
      </w:r>
    </w:p>
    <w:p>
      <w:pPr>
        <w:pStyle w:val="BodyText"/>
        <w:spacing w:after="0"/>
        <w:sectPr>
          <w:pgSz w:w="12240" w:h="15840"/>
          <w:pgMar w:header="0" w:footer="702" w:top="1360" w:bottom="900" w:left="1080" w:right="720"/>
        </w:sectPr>
      </w:pPr>
    </w:p>
    <w:p>
      <w:pPr>
        <w:pStyle w:val="BodyText"/>
        <w:spacing w:before="72"/>
        <w:ind w:right="715"/>
      </w:pPr>
      <w:r>
        <w:rPr/>
        <w:t>запошљивих</w:t>
      </w:r>
      <w:r>
        <w:rPr>
          <w:spacing w:val="-6"/>
        </w:rPr>
        <w:t> </w:t>
      </w:r>
      <w:r>
        <w:rPr/>
        <w:t>лица</w:t>
      </w:r>
      <w:r>
        <w:rPr>
          <w:spacing w:val="-9"/>
        </w:rPr>
        <w:t> </w:t>
      </w:r>
      <w:r>
        <w:rPr/>
        <w:t>са</w:t>
      </w:r>
      <w:r>
        <w:rPr>
          <w:spacing w:val="-9"/>
        </w:rPr>
        <w:t> </w:t>
      </w:r>
      <w:r>
        <w:rPr/>
        <w:t>евиденције</w:t>
      </w:r>
      <w:r>
        <w:rPr>
          <w:spacing w:val="-9"/>
        </w:rPr>
        <w:t> </w:t>
      </w:r>
      <w:r>
        <w:rPr/>
        <w:t>НСЗ</w:t>
      </w:r>
      <w:r>
        <w:rPr>
          <w:spacing w:val="-8"/>
        </w:rPr>
        <w:t> </w:t>
      </w:r>
      <w:r>
        <w:rPr/>
        <w:t>од</w:t>
      </w:r>
      <w:r>
        <w:rPr>
          <w:spacing w:val="-8"/>
        </w:rPr>
        <w:t> </w:t>
      </w:r>
      <w:r>
        <w:rPr/>
        <w:t>стране</w:t>
      </w:r>
      <w:r>
        <w:rPr>
          <w:spacing w:val="-12"/>
        </w:rPr>
        <w:t> </w:t>
      </w:r>
      <w:r>
        <w:rPr/>
        <w:t>инвеститора,</w:t>
      </w:r>
      <w:r>
        <w:rPr>
          <w:spacing w:val="-11"/>
        </w:rPr>
        <w:t> </w:t>
      </w:r>
      <w:r>
        <w:rPr/>
        <w:t>идентификован</w:t>
      </w:r>
      <w:r>
        <w:rPr>
          <w:spacing w:val="-7"/>
        </w:rPr>
        <w:t> </w:t>
      </w:r>
      <w:r>
        <w:rPr/>
        <w:t>је</w:t>
      </w:r>
      <w:r>
        <w:rPr>
          <w:spacing w:val="-9"/>
        </w:rPr>
        <w:t> </w:t>
      </w:r>
      <w:r>
        <w:rPr/>
        <w:t>као</w:t>
      </w:r>
      <w:r>
        <w:rPr>
          <w:spacing w:val="-8"/>
        </w:rPr>
        <w:t> </w:t>
      </w:r>
      <w:r>
        <w:rPr/>
        <w:t>један</w:t>
      </w:r>
      <w:r>
        <w:rPr>
          <w:spacing w:val="-7"/>
        </w:rPr>
        <w:t> </w:t>
      </w:r>
      <w:r>
        <w:rPr/>
        <w:t>од сегмената у којима је потребно остварити виши ниво сарадње са ресором привреде.</w:t>
      </w:r>
    </w:p>
    <w:p>
      <w:pPr>
        <w:pStyle w:val="BodyText"/>
        <w:spacing w:before="120"/>
        <w:ind w:right="714" w:firstLine="719"/>
      </w:pPr>
      <w:r>
        <w:rPr/>
        <w:t>Стратегијом индустријске политике предвиђа се трансформација из економије чији раст се заснивао на инвестицијама у радно интензивне делатности, ка економији која свој брзи раст базира на иновацијама, креативности и знању. Захтеви и прилике четврте индустријске револуције стварају додатне просторе за сарадњу различитих ресора. У наредном</w:t>
      </w:r>
      <w:r>
        <w:rPr>
          <w:spacing w:val="-15"/>
        </w:rPr>
        <w:t> </w:t>
      </w:r>
      <w:r>
        <w:rPr/>
        <w:t>периоду</w:t>
      </w:r>
      <w:r>
        <w:rPr>
          <w:spacing w:val="-15"/>
        </w:rPr>
        <w:t> </w:t>
      </w:r>
      <w:r>
        <w:rPr/>
        <w:t>наставиће</w:t>
      </w:r>
      <w:r>
        <w:rPr>
          <w:spacing w:val="-15"/>
        </w:rPr>
        <w:t> </w:t>
      </w:r>
      <w:r>
        <w:rPr/>
        <w:t>се</w:t>
      </w:r>
      <w:r>
        <w:rPr>
          <w:spacing w:val="-15"/>
        </w:rPr>
        <w:t> </w:t>
      </w:r>
      <w:r>
        <w:rPr/>
        <w:t>са</w:t>
      </w:r>
      <w:r>
        <w:rPr>
          <w:spacing w:val="-15"/>
        </w:rPr>
        <w:t> </w:t>
      </w:r>
      <w:r>
        <w:rPr/>
        <w:t>реализацијом</w:t>
      </w:r>
      <w:r>
        <w:rPr>
          <w:spacing w:val="-15"/>
        </w:rPr>
        <w:t> </w:t>
      </w:r>
      <w:r>
        <w:rPr/>
        <w:t>програма</w:t>
      </w:r>
      <w:r>
        <w:rPr>
          <w:spacing w:val="-15"/>
        </w:rPr>
        <w:t> </w:t>
      </w:r>
      <w:r>
        <w:rPr/>
        <w:t>додатног</w:t>
      </w:r>
      <w:r>
        <w:rPr>
          <w:spacing w:val="-15"/>
        </w:rPr>
        <w:t> </w:t>
      </w:r>
      <w:r>
        <w:rPr/>
        <w:t>образовања</w:t>
      </w:r>
      <w:r>
        <w:rPr>
          <w:spacing w:val="-15"/>
        </w:rPr>
        <w:t> </w:t>
      </w:r>
      <w:r>
        <w:rPr/>
        <w:t>и</w:t>
      </w:r>
      <w:r>
        <w:rPr>
          <w:spacing w:val="-15"/>
        </w:rPr>
        <w:t> </w:t>
      </w:r>
      <w:r>
        <w:rPr/>
        <w:t>обука</w:t>
      </w:r>
      <w:r>
        <w:rPr>
          <w:spacing w:val="-15"/>
        </w:rPr>
        <w:t> </w:t>
      </w:r>
      <w:r>
        <w:rPr/>
        <w:t>које спроводи НСЗ у циљу побољшања компетенција, знања и вештина незапослених лица. На овај начин треба у одређеној мери, у краћем року кроз неформално образовање одраслих одговорити на захтеве инвеститора који све теже долазе до нових запослених. Такође, ова сарадња би омогућила ресору запошљавања да синхронизује употребу средстава за мере АПЗ</w:t>
      </w:r>
      <w:r>
        <w:rPr>
          <w:spacing w:val="-15"/>
        </w:rPr>
        <w:t> </w:t>
      </w:r>
      <w:r>
        <w:rPr/>
        <w:t>у</w:t>
      </w:r>
      <w:r>
        <w:rPr>
          <w:spacing w:val="-15"/>
        </w:rPr>
        <w:t> </w:t>
      </w:r>
      <w:r>
        <w:rPr/>
        <w:t>складу</w:t>
      </w:r>
      <w:r>
        <w:rPr>
          <w:spacing w:val="-15"/>
        </w:rPr>
        <w:t> </w:t>
      </w:r>
      <w:r>
        <w:rPr/>
        <w:t>са</w:t>
      </w:r>
      <w:r>
        <w:rPr>
          <w:spacing w:val="-15"/>
        </w:rPr>
        <w:t> </w:t>
      </w:r>
      <w:r>
        <w:rPr/>
        <w:t>усмеравањем</w:t>
      </w:r>
      <w:r>
        <w:rPr>
          <w:spacing w:val="-15"/>
        </w:rPr>
        <w:t> </w:t>
      </w:r>
      <w:r>
        <w:rPr/>
        <w:t>директних</w:t>
      </w:r>
      <w:r>
        <w:rPr>
          <w:spacing w:val="-15"/>
        </w:rPr>
        <w:t> </w:t>
      </w:r>
      <w:r>
        <w:rPr/>
        <w:t>инвестиција,</w:t>
      </w:r>
      <w:r>
        <w:rPr>
          <w:spacing w:val="-15"/>
        </w:rPr>
        <w:t> </w:t>
      </w:r>
      <w:r>
        <w:rPr/>
        <w:t>а</w:t>
      </w:r>
      <w:r>
        <w:rPr>
          <w:spacing w:val="-15"/>
        </w:rPr>
        <w:t> </w:t>
      </w:r>
      <w:r>
        <w:rPr/>
        <w:t>у</w:t>
      </w:r>
      <w:r>
        <w:rPr>
          <w:spacing w:val="-15"/>
        </w:rPr>
        <w:t> </w:t>
      </w:r>
      <w:r>
        <w:rPr/>
        <w:t>циљу</w:t>
      </w:r>
      <w:r>
        <w:rPr>
          <w:spacing w:val="-15"/>
        </w:rPr>
        <w:t> </w:t>
      </w:r>
      <w:r>
        <w:rPr/>
        <w:t>припреме</w:t>
      </w:r>
      <w:r>
        <w:rPr>
          <w:spacing w:val="-15"/>
        </w:rPr>
        <w:t> </w:t>
      </w:r>
      <w:r>
        <w:rPr/>
        <w:t>радне</w:t>
      </w:r>
      <w:r>
        <w:rPr>
          <w:spacing w:val="-15"/>
        </w:rPr>
        <w:t> </w:t>
      </w:r>
      <w:r>
        <w:rPr/>
        <w:t>снаге</w:t>
      </w:r>
      <w:r>
        <w:rPr>
          <w:spacing w:val="-15"/>
        </w:rPr>
        <w:t> </w:t>
      </w:r>
      <w:r>
        <w:rPr/>
        <w:t>према потребама инвеститора.</w:t>
      </w:r>
    </w:p>
    <w:p>
      <w:pPr>
        <w:pStyle w:val="BodyText"/>
        <w:spacing w:before="121"/>
        <w:ind w:right="714" w:firstLine="719"/>
      </w:pPr>
      <w:r>
        <w:rPr/>
        <w:t>Поред тога, захтеви дигиталне трансформације, аутоматизације, али и циркуларне економије</w:t>
      </w:r>
      <w:r>
        <w:rPr>
          <w:spacing w:val="-10"/>
        </w:rPr>
        <w:t> </w:t>
      </w:r>
      <w:r>
        <w:rPr/>
        <w:t>изискују</w:t>
      </w:r>
      <w:r>
        <w:rPr>
          <w:spacing w:val="-14"/>
        </w:rPr>
        <w:t> </w:t>
      </w:r>
      <w:r>
        <w:rPr/>
        <w:t>потребу</w:t>
      </w:r>
      <w:r>
        <w:rPr>
          <w:spacing w:val="-14"/>
        </w:rPr>
        <w:t> </w:t>
      </w:r>
      <w:r>
        <w:rPr/>
        <w:t>да</w:t>
      </w:r>
      <w:r>
        <w:rPr>
          <w:spacing w:val="-8"/>
        </w:rPr>
        <w:t> </w:t>
      </w:r>
      <w:r>
        <w:rPr/>
        <w:t>се</w:t>
      </w:r>
      <w:r>
        <w:rPr>
          <w:spacing w:val="-11"/>
        </w:rPr>
        <w:t> </w:t>
      </w:r>
      <w:r>
        <w:rPr/>
        <w:t>незапослена</w:t>
      </w:r>
      <w:r>
        <w:rPr>
          <w:spacing w:val="-8"/>
        </w:rPr>
        <w:t> </w:t>
      </w:r>
      <w:r>
        <w:rPr/>
        <w:t>лица,</w:t>
      </w:r>
      <w:r>
        <w:rPr>
          <w:spacing w:val="-10"/>
        </w:rPr>
        <w:t> </w:t>
      </w:r>
      <w:r>
        <w:rPr/>
        <w:t>али</w:t>
      </w:r>
      <w:r>
        <w:rPr>
          <w:spacing w:val="-9"/>
        </w:rPr>
        <w:t> </w:t>
      </w:r>
      <w:r>
        <w:rPr/>
        <w:t>и</w:t>
      </w:r>
      <w:r>
        <w:rPr>
          <w:spacing w:val="-11"/>
        </w:rPr>
        <w:t> </w:t>
      </w:r>
      <w:r>
        <w:rPr/>
        <w:t>запослени,</w:t>
      </w:r>
      <w:r>
        <w:rPr>
          <w:spacing w:val="-12"/>
        </w:rPr>
        <w:t> </w:t>
      </w:r>
      <w:r>
        <w:rPr/>
        <w:t>опреме</w:t>
      </w:r>
      <w:r>
        <w:rPr>
          <w:spacing w:val="-11"/>
        </w:rPr>
        <w:t> </w:t>
      </w:r>
      <w:r>
        <w:rPr/>
        <w:t>сетом</w:t>
      </w:r>
      <w:r>
        <w:rPr>
          <w:spacing w:val="-10"/>
        </w:rPr>
        <w:t> </w:t>
      </w:r>
      <w:r>
        <w:rPr/>
        <w:t>„меких” и дигиталних вештина које су од изузетног значаја за данашње пословање. Подстицање развоја</w:t>
      </w:r>
      <w:r>
        <w:rPr>
          <w:spacing w:val="-12"/>
        </w:rPr>
        <w:t> </w:t>
      </w:r>
      <w:r>
        <w:rPr/>
        <w:t>знањем-интензивних</w:t>
      </w:r>
      <w:r>
        <w:rPr>
          <w:spacing w:val="-9"/>
        </w:rPr>
        <w:t> </w:t>
      </w:r>
      <w:r>
        <w:rPr/>
        <w:t>делатности</w:t>
      </w:r>
      <w:r>
        <w:rPr>
          <w:spacing w:val="-9"/>
        </w:rPr>
        <w:t> </w:t>
      </w:r>
      <w:r>
        <w:rPr/>
        <w:t>које</w:t>
      </w:r>
      <w:r>
        <w:rPr>
          <w:spacing w:val="-11"/>
        </w:rPr>
        <w:t> </w:t>
      </w:r>
      <w:r>
        <w:rPr/>
        <w:t>конкуришу</w:t>
      </w:r>
      <w:r>
        <w:rPr>
          <w:spacing w:val="-15"/>
        </w:rPr>
        <w:t> </w:t>
      </w:r>
      <w:r>
        <w:rPr/>
        <w:t>додатом</w:t>
      </w:r>
      <w:r>
        <w:rPr>
          <w:spacing w:val="-9"/>
        </w:rPr>
        <w:t> </w:t>
      </w:r>
      <w:r>
        <w:rPr/>
        <w:t>вредношћу,</w:t>
      </w:r>
      <w:r>
        <w:rPr>
          <w:spacing w:val="-11"/>
        </w:rPr>
        <w:t> </w:t>
      </w:r>
      <w:r>
        <w:rPr/>
        <w:t>допринеће</w:t>
      </w:r>
      <w:r>
        <w:rPr>
          <w:spacing w:val="-12"/>
        </w:rPr>
        <w:t> </w:t>
      </w:r>
      <w:r>
        <w:rPr/>
        <w:t>се продуктвнијој и квалитенијој запослености.</w:t>
      </w:r>
    </w:p>
    <w:p>
      <w:pPr>
        <w:pStyle w:val="BodyText"/>
        <w:spacing w:before="120"/>
        <w:ind w:right="718" w:firstLine="719"/>
      </w:pPr>
      <w:r>
        <w:rPr/>
        <w:t>Потребно</w:t>
      </w:r>
      <w:r>
        <w:rPr>
          <w:spacing w:val="-1"/>
        </w:rPr>
        <w:t> </w:t>
      </w:r>
      <w:r>
        <w:rPr/>
        <w:t>је</w:t>
      </w:r>
      <w:r>
        <w:rPr>
          <w:spacing w:val="-2"/>
        </w:rPr>
        <w:t> </w:t>
      </w:r>
      <w:r>
        <w:rPr/>
        <w:t>препознати и</w:t>
      </w:r>
      <w:r>
        <w:rPr>
          <w:spacing w:val="-3"/>
        </w:rPr>
        <w:t> </w:t>
      </w:r>
      <w:r>
        <w:rPr/>
        <w:t>значај</w:t>
      </w:r>
      <w:r>
        <w:rPr>
          <w:spacing w:val="-1"/>
        </w:rPr>
        <w:t> </w:t>
      </w:r>
      <w:r>
        <w:rPr/>
        <w:t>дигиталног</w:t>
      </w:r>
      <w:r>
        <w:rPr>
          <w:spacing w:val="-4"/>
        </w:rPr>
        <w:t> </w:t>
      </w:r>
      <w:r>
        <w:rPr/>
        <w:t>рада</w:t>
      </w:r>
      <w:r>
        <w:rPr>
          <w:spacing w:val="-2"/>
        </w:rPr>
        <w:t> </w:t>
      </w:r>
      <w:r>
        <w:rPr/>
        <w:t>за</w:t>
      </w:r>
      <w:r>
        <w:rPr>
          <w:spacing w:val="-2"/>
        </w:rPr>
        <w:t> </w:t>
      </w:r>
      <w:r>
        <w:rPr/>
        <w:t>тржиште</w:t>
      </w:r>
      <w:r>
        <w:rPr>
          <w:spacing w:val="-2"/>
        </w:rPr>
        <w:t> </w:t>
      </w:r>
      <w:r>
        <w:rPr/>
        <w:t>рада</w:t>
      </w:r>
      <w:r>
        <w:rPr>
          <w:spacing w:val="-2"/>
        </w:rPr>
        <w:t> </w:t>
      </w:r>
      <w:r>
        <w:rPr/>
        <w:t>за</w:t>
      </w:r>
      <w:r>
        <w:rPr>
          <w:spacing w:val="-4"/>
        </w:rPr>
        <w:t> </w:t>
      </w:r>
      <w:r>
        <w:rPr/>
        <w:t>младе</w:t>
      </w:r>
      <w:r>
        <w:rPr>
          <w:spacing w:val="-2"/>
        </w:rPr>
        <w:t> </w:t>
      </w:r>
      <w:r>
        <w:rPr/>
        <w:t>имајући у</w:t>
      </w:r>
      <w:r>
        <w:rPr>
          <w:spacing w:val="-10"/>
        </w:rPr>
        <w:t> </w:t>
      </w:r>
      <w:r>
        <w:rPr/>
        <w:t>виду</w:t>
      </w:r>
      <w:r>
        <w:rPr>
          <w:spacing w:val="-12"/>
        </w:rPr>
        <w:t> </w:t>
      </w:r>
      <w:r>
        <w:rPr/>
        <w:t>да</w:t>
      </w:r>
      <w:r>
        <w:rPr>
          <w:spacing w:val="-8"/>
        </w:rPr>
        <w:t> </w:t>
      </w:r>
      <w:r>
        <w:rPr/>
        <w:t>он</w:t>
      </w:r>
      <w:r>
        <w:rPr>
          <w:spacing w:val="-6"/>
        </w:rPr>
        <w:t> </w:t>
      </w:r>
      <w:r>
        <w:rPr/>
        <w:t>брзо</w:t>
      </w:r>
      <w:r>
        <w:rPr>
          <w:spacing w:val="-7"/>
        </w:rPr>
        <w:t> </w:t>
      </w:r>
      <w:r>
        <w:rPr/>
        <w:t>расте</w:t>
      </w:r>
      <w:r>
        <w:rPr>
          <w:spacing w:val="-10"/>
        </w:rPr>
        <w:t> </w:t>
      </w:r>
      <w:r>
        <w:rPr/>
        <w:t>у</w:t>
      </w:r>
      <w:r>
        <w:rPr>
          <w:spacing w:val="-10"/>
        </w:rPr>
        <w:t> </w:t>
      </w:r>
      <w:r>
        <w:rPr/>
        <w:t>обиму</w:t>
      </w:r>
      <w:r>
        <w:rPr>
          <w:spacing w:val="-12"/>
        </w:rPr>
        <w:t> </w:t>
      </w:r>
      <w:r>
        <w:rPr/>
        <w:t>и</w:t>
      </w:r>
      <w:r>
        <w:rPr>
          <w:spacing w:val="-6"/>
        </w:rPr>
        <w:t> </w:t>
      </w:r>
      <w:r>
        <w:rPr/>
        <w:t>величини</w:t>
      </w:r>
      <w:r>
        <w:rPr>
          <w:spacing w:val="-9"/>
        </w:rPr>
        <w:t> </w:t>
      </w:r>
      <w:r>
        <w:rPr/>
        <w:t>прихода</w:t>
      </w:r>
      <w:r>
        <w:rPr>
          <w:spacing w:val="-6"/>
        </w:rPr>
        <w:t> </w:t>
      </w:r>
      <w:r>
        <w:rPr/>
        <w:t>у</w:t>
      </w:r>
      <w:r>
        <w:rPr>
          <w:spacing w:val="-14"/>
        </w:rPr>
        <w:t> </w:t>
      </w:r>
      <w:r>
        <w:rPr/>
        <w:t>последњих</w:t>
      </w:r>
      <w:r>
        <w:rPr>
          <w:spacing w:val="-5"/>
        </w:rPr>
        <w:t> </w:t>
      </w:r>
      <w:r>
        <w:rPr/>
        <w:t>пет</w:t>
      </w:r>
      <w:r>
        <w:rPr>
          <w:spacing w:val="-9"/>
        </w:rPr>
        <w:t> </w:t>
      </w:r>
      <w:r>
        <w:rPr/>
        <w:t>или</w:t>
      </w:r>
      <w:r>
        <w:rPr>
          <w:spacing w:val="-6"/>
        </w:rPr>
        <w:t> </w:t>
      </w:r>
      <w:r>
        <w:rPr/>
        <w:t>више</w:t>
      </w:r>
      <w:r>
        <w:rPr>
          <w:spacing w:val="-8"/>
        </w:rPr>
        <w:t> </w:t>
      </w:r>
      <w:r>
        <w:rPr/>
        <w:t>година.</w:t>
      </w:r>
      <w:r>
        <w:rPr>
          <w:spacing w:val="-7"/>
        </w:rPr>
        <w:t> </w:t>
      </w:r>
      <w:r>
        <w:rPr/>
        <w:t>Као врло</w:t>
      </w:r>
      <w:r>
        <w:rPr>
          <w:spacing w:val="-10"/>
        </w:rPr>
        <w:t> </w:t>
      </w:r>
      <w:r>
        <w:rPr/>
        <w:t>хетерогена</w:t>
      </w:r>
      <w:r>
        <w:rPr>
          <w:spacing w:val="-10"/>
        </w:rPr>
        <w:t> </w:t>
      </w:r>
      <w:r>
        <w:rPr/>
        <w:t>категорија,</w:t>
      </w:r>
      <w:r>
        <w:rPr>
          <w:spacing w:val="-10"/>
        </w:rPr>
        <w:t> </w:t>
      </w:r>
      <w:r>
        <w:rPr/>
        <w:t>телемигрантски</w:t>
      </w:r>
      <w:r>
        <w:rPr>
          <w:spacing w:val="-10"/>
        </w:rPr>
        <w:t> </w:t>
      </w:r>
      <w:r>
        <w:rPr/>
        <w:t>послови</w:t>
      </w:r>
      <w:r>
        <w:rPr>
          <w:spacing w:val="-9"/>
        </w:rPr>
        <w:t> </w:t>
      </w:r>
      <w:r>
        <w:rPr/>
        <w:t>обухватају</w:t>
      </w:r>
      <w:r>
        <w:rPr>
          <w:spacing w:val="-13"/>
        </w:rPr>
        <w:t> </w:t>
      </w:r>
      <w:r>
        <w:rPr/>
        <w:t>широк</w:t>
      </w:r>
      <w:r>
        <w:rPr>
          <w:spacing w:val="-9"/>
        </w:rPr>
        <w:t> </w:t>
      </w:r>
      <w:r>
        <w:rPr/>
        <w:t>спектар</w:t>
      </w:r>
      <w:r>
        <w:rPr>
          <w:spacing w:val="-10"/>
        </w:rPr>
        <w:t> </w:t>
      </w:r>
      <w:r>
        <w:rPr/>
        <w:t>послова,</w:t>
      </w:r>
      <w:r>
        <w:rPr>
          <w:spacing w:val="-9"/>
        </w:rPr>
        <w:t> </w:t>
      </w:r>
      <w:r>
        <w:rPr/>
        <w:t>од високо</w:t>
      </w:r>
      <w:r>
        <w:rPr>
          <w:spacing w:val="-12"/>
        </w:rPr>
        <w:t> </w:t>
      </w:r>
      <w:r>
        <w:rPr/>
        <w:t>плаћеног</w:t>
      </w:r>
      <w:r>
        <w:rPr>
          <w:spacing w:val="-12"/>
        </w:rPr>
        <w:t> </w:t>
      </w:r>
      <w:r>
        <w:rPr/>
        <w:t>формализованог</w:t>
      </w:r>
      <w:r>
        <w:rPr>
          <w:spacing w:val="-12"/>
        </w:rPr>
        <w:t> </w:t>
      </w:r>
      <w:r>
        <w:rPr/>
        <w:t>самозапошљавања</w:t>
      </w:r>
      <w:r>
        <w:rPr>
          <w:spacing w:val="-13"/>
        </w:rPr>
        <w:t> </w:t>
      </w:r>
      <w:r>
        <w:rPr/>
        <w:t>до</w:t>
      </w:r>
      <w:r>
        <w:rPr>
          <w:spacing w:val="-12"/>
        </w:rPr>
        <w:t> </w:t>
      </w:r>
      <w:r>
        <w:rPr/>
        <w:t>спорадичних</w:t>
      </w:r>
      <w:r>
        <w:rPr>
          <w:spacing w:val="-12"/>
        </w:rPr>
        <w:t> </w:t>
      </w:r>
      <w:r>
        <w:rPr/>
        <w:t>фриленс</w:t>
      </w:r>
      <w:r>
        <w:rPr>
          <w:spacing w:val="-13"/>
        </w:rPr>
        <w:t> </w:t>
      </w:r>
      <w:r>
        <w:rPr/>
        <w:t>послова.</w:t>
      </w:r>
      <w:r>
        <w:rPr>
          <w:spacing w:val="-12"/>
        </w:rPr>
        <w:t> </w:t>
      </w:r>
      <w:r>
        <w:rPr/>
        <w:t>Ако се телемиграција сведе на платформе, гиг послове, она има своја ограничења у погледу квалитета и несигурности права из радних односа.</w:t>
      </w:r>
    </w:p>
    <w:p>
      <w:pPr>
        <w:pStyle w:val="BodyText"/>
        <w:spacing w:before="121"/>
        <w:ind w:right="716" w:firstLine="719"/>
      </w:pPr>
      <w:r>
        <w:rPr/>
        <w:t>Вероватно најбољи начин да се Србија задржи на врху</w:t>
      </w:r>
      <w:r>
        <w:rPr>
          <w:spacing w:val="-2"/>
        </w:rPr>
        <w:t> </w:t>
      </w:r>
      <w:r>
        <w:rPr/>
        <w:t>светске листе радне снаге за телемигранте био би пружање подршке раном излагању популације српских редовних студената старости од 18 до 24 године глобалним мрежним платформама и тржиштима рада.</w:t>
      </w:r>
      <w:r>
        <w:rPr>
          <w:spacing w:val="-3"/>
        </w:rPr>
        <w:t> </w:t>
      </w:r>
      <w:r>
        <w:rPr/>
        <w:t>У</w:t>
      </w:r>
      <w:r>
        <w:rPr>
          <w:spacing w:val="-3"/>
        </w:rPr>
        <w:t> </w:t>
      </w:r>
      <w:r>
        <w:rPr/>
        <w:t>идеалном</w:t>
      </w:r>
      <w:r>
        <w:rPr>
          <w:spacing w:val="-4"/>
        </w:rPr>
        <w:t> </w:t>
      </w:r>
      <w:r>
        <w:rPr/>
        <w:t>сценарију,</w:t>
      </w:r>
      <w:r>
        <w:rPr>
          <w:spacing w:val="-3"/>
        </w:rPr>
        <w:t> </w:t>
      </w:r>
      <w:r>
        <w:rPr/>
        <w:t>послови</w:t>
      </w:r>
      <w:r>
        <w:rPr>
          <w:spacing w:val="-3"/>
        </w:rPr>
        <w:t> </w:t>
      </w:r>
      <w:r>
        <w:rPr/>
        <w:t>за</w:t>
      </w:r>
      <w:r>
        <w:rPr>
          <w:spacing w:val="-4"/>
        </w:rPr>
        <w:t> </w:t>
      </w:r>
      <w:r>
        <w:rPr/>
        <w:t>телемигранте</w:t>
      </w:r>
      <w:r>
        <w:rPr>
          <w:spacing w:val="-3"/>
        </w:rPr>
        <w:t> </w:t>
      </w:r>
      <w:r>
        <w:rPr/>
        <w:t>и</w:t>
      </w:r>
      <w:r>
        <w:rPr>
          <w:spacing w:val="-3"/>
        </w:rPr>
        <w:t> </w:t>
      </w:r>
      <w:r>
        <w:rPr/>
        <w:t>даље</w:t>
      </w:r>
      <w:r>
        <w:rPr>
          <w:spacing w:val="-4"/>
        </w:rPr>
        <w:t> </w:t>
      </w:r>
      <w:r>
        <w:rPr/>
        <w:t>би</w:t>
      </w:r>
      <w:r>
        <w:rPr>
          <w:spacing w:val="-2"/>
        </w:rPr>
        <w:t> </w:t>
      </w:r>
      <w:r>
        <w:rPr/>
        <w:t>били</w:t>
      </w:r>
      <w:r>
        <w:rPr>
          <w:spacing w:val="-5"/>
        </w:rPr>
        <w:t> </w:t>
      </w:r>
      <w:r>
        <w:rPr/>
        <w:t>релативно бројни</w:t>
      </w:r>
      <w:r>
        <w:rPr>
          <w:spacing w:val="-5"/>
        </w:rPr>
        <w:t> </w:t>
      </w:r>
      <w:r>
        <w:rPr/>
        <w:t>јер би се</w:t>
      </w:r>
      <w:r>
        <w:rPr>
          <w:spacing w:val="-1"/>
        </w:rPr>
        <w:t> </w:t>
      </w:r>
      <w:r>
        <w:rPr/>
        <w:t>раним</w:t>
      </w:r>
      <w:r>
        <w:rPr>
          <w:spacing w:val="-1"/>
        </w:rPr>
        <w:t> </w:t>
      </w:r>
      <w:r>
        <w:rPr/>
        <w:t>излагањем могло видљиво</w:t>
      </w:r>
      <w:r>
        <w:rPr>
          <w:spacing w:val="-2"/>
        </w:rPr>
        <w:t> </w:t>
      </w:r>
      <w:r>
        <w:rPr/>
        <w:t>побољшати претходно приказане</w:t>
      </w:r>
      <w:r>
        <w:rPr>
          <w:spacing w:val="-1"/>
        </w:rPr>
        <w:t> </w:t>
      </w:r>
      <w:r>
        <w:rPr/>
        <w:t>стопе</w:t>
      </w:r>
      <w:r>
        <w:rPr>
          <w:spacing w:val="-1"/>
        </w:rPr>
        <w:t> </w:t>
      </w:r>
      <w:r>
        <w:rPr/>
        <w:t>активности и</w:t>
      </w:r>
      <w:r>
        <w:rPr>
          <w:spacing w:val="-11"/>
        </w:rPr>
        <w:t> </w:t>
      </w:r>
      <w:r>
        <w:rPr/>
        <w:t>запослености</w:t>
      </w:r>
      <w:r>
        <w:rPr>
          <w:spacing w:val="-10"/>
        </w:rPr>
        <w:t> </w:t>
      </w:r>
      <w:r>
        <w:rPr/>
        <w:t>старосних</w:t>
      </w:r>
      <w:r>
        <w:rPr>
          <w:spacing w:val="-10"/>
        </w:rPr>
        <w:t> </w:t>
      </w:r>
      <w:r>
        <w:rPr/>
        <w:t>група</w:t>
      </w:r>
      <w:r>
        <w:rPr>
          <w:spacing w:val="-13"/>
        </w:rPr>
        <w:t> </w:t>
      </w:r>
      <w:r>
        <w:rPr/>
        <w:t>15-19</w:t>
      </w:r>
      <w:r>
        <w:rPr>
          <w:spacing w:val="-12"/>
        </w:rPr>
        <w:t> </w:t>
      </w:r>
      <w:r>
        <w:rPr/>
        <w:t>година</w:t>
      </w:r>
      <w:r>
        <w:rPr>
          <w:spacing w:val="-13"/>
        </w:rPr>
        <w:t> </w:t>
      </w:r>
      <w:r>
        <w:rPr/>
        <w:t>и</w:t>
      </w:r>
      <w:r>
        <w:rPr>
          <w:spacing w:val="-11"/>
        </w:rPr>
        <w:t> </w:t>
      </w:r>
      <w:r>
        <w:rPr/>
        <w:t>20-24</w:t>
      </w:r>
      <w:r>
        <w:rPr>
          <w:spacing w:val="-12"/>
        </w:rPr>
        <w:t> </w:t>
      </w:r>
      <w:r>
        <w:rPr/>
        <w:t>године,</w:t>
      </w:r>
      <w:r>
        <w:rPr>
          <w:spacing w:val="-12"/>
        </w:rPr>
        <w:t> </w:t>
      </w:r>
      <w:r>
        <w:rPr/>
        <w:t>а</w:t>
      </w:r>
      <w:r>
        <w:rPr>
          <w:spacing w:val="-11"/>
        </w:rPr>
        <w:t> </w:t>
      </w:r>
      <w:r>
        <w:rPr/>
        <w:t>после</w:t>
      </w:r>
      <w:r>
        <w:rPr>
          <w:spacing w:val="-13"/>
        </w:rPr>
        <w:t> </w:t>
      </w:r>
      <w:r>
        <w:rPr/>
        <w:t>25</w:t>
      </w:r>
      <w:r>
        <w:rPr>
          <w:spacing w:val="-12"/>
        </w:rPr>
        <w:t> </w:t>
      </w:r>
      <w:r>
        <w:rPr/>
        <w:t>године</w:t>
      </w:r>
      <w:r>
        <w:rPr>
          <w:spacing w:val="-13"/>
        </w:rPr>
        <w:t> </w:t>
      </w:r>
      <w:r>
        <w:rPr/>
        <w:t>они</w:t>
      </w:r>
      <w:r>
        <w:rPr>
          <w:spacing w:val="-11"/>
        </w:rPr>
        <w:t> </w:t>
      </w:r>
      <w:r>
        <w:rPr/>
        <w:t>би</w:t>
      </w:r>
      <w:r>
        <w:rPr>
          <w:spacing w:val="-11"/>
        </w:rPr>
        <w:t> </w:t>
      </w:r>
      <w:r>
        <w:rPr/>
        <w:t>били уједначенијег квалитета и добро плаћени.</w:t>
      </w:r>
      <w:r>
        <w:rPr>
          <w:vertAlign w:val="superscript"/>
        </w:rPr>
        <w:t>39</w:t>
      </w:r>
    </w:p>
    <w:p>
      <w:pPr>
        <w:pStyle w:val="BodyText"/>
        <w:spacing w:before="176" w:after="1"/>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49"/>
      </w:tblGrid>
      <w:tr>
        <w:trPr>
          <w:trHeight w:val="265" w:hRule="atLeast"/>
        </w:trPr>
        <w:tc>
          <w:tcPr>
            <w:tcW w:w="1956" w:type="dxa"/>
          </w:tcPr>
          <w:p>
            <w:pPr>
              <w:pStyle w:val="TableParagraph"/>
              <w:spacing w:line="246" w:lineRule="exact"/>
              <w:ind w:left="50"/>
              <w:rPr>
                <w:i/>
                <w:sz w:val="24"/>
              </w:rPr>
            </w:pPr>
            <w:r>
              <w:rPr>
                <w:i/>
                <w:sz w:val="24"/>
              </w:rPr>
              <w:t>Врста/тип</w:t>
            </w:r>
            <w:r>
              <w:rPr>
                <w:i/>
                <w:spacing w:val="-2"/>
                <w:sz w:val="24"/>
              </w:rPr>
              <w:t> </w:t>
            </w:r>
            <w:r>
              <w:rPr>
                <w:i/>
                <w:spacing w:val="-4"/>
                <w:sz w:val="24"/>
              </w:rPr>
              <w:t>мере</w:t>
            </w:r>
          </w:p>
        </w:tc>
        <w:tc>
          <w:tcPr>
            <w:tcW w:w="7249" w:type="dxa"/>
          </w:tcPr>
          <w:p>
            <w:pPr>
              <w:pStyle w:val="TableParagraph"/>
              <w:spacing w:line="246" w:lineRule="exact"/>
              <w:ind w:left="215"/>
              <w:rPr>
                <w:sz w:val="24"/>
              </w:rPr>
            </w:pPr>
            <w:r>
              <w:rPr>
                <w:sz w:val="24"/>
              </w:rPr>
              <w:t>Комбинована:</w:t>
            </w:r>
            <w:r>
              <w:rPr>
                <w:spacing w:val="-5"/>
                <w:sz w:val="24"/>
              </w:rPr>
              <w:t> </w:t>
            </w:r>
            <w:r>
              <w:rPr>
                <w:sz w:val="24"/>
              </w:rPr>
              <w:t>регулаторна;</w:t>
            </w:r>
            <w:r>
              <w:rPr>
                <w:spacing w:val="-5"/>
                <w:sz w:val="24"/>
              </w:rPr>
              <w:t> </w:t>
            </w:r>
            <w:r>
              <w:rPr>
                <w:sz w:val="24"/>
              </w:rPr>
              <w:t>подстицајна;</w:t>
            </w:r>
            <w:r>
              <w:rPr>
                <w:spacing w:val="-5"/>
                <w:sz w:val="24"/>
              </w:rPr>
              <w:t> </w:t>
            </w:r>
            <w:r>
              <w:rPr>
                <w:sz w:val="24"/>
              </w:rPr>
              <w:t>информативно</w:t>
            </w:r>
            <w:r>
              <w:rPr>
                <w:spacing w:val="-4"/>
                <w:sz w:val="24"/>
              </w:rPr>
              <w:t> </w:t>
            </w:r>
            <w:r>
              <w:rPr>
                <w:spacing w:val="-2"/>
                <w:sz w:val="24"/>
              </w:rPr>
              <w:t>едукативна</w:t>
            </w:r>
          </w:p>
        </w:tc>
      </w:tr>
    </w:tbl>
    <w:p>
      <w:pPr>
        <w:pStyle w:val="BodyText"/>
        <w:ind w:left="0"/>
        <w:jc w:val="left"/>
      </w:pPr>
    </w:p>
    <w:p>
      <w:pPr>
        <w:pStyle w:val="BodyText"/>
        <w:spacing w:before="32"/>
        <w:ind w:left="0"/>
        <w:jc w:val="left"/>
      </w:pPr>
    </w:p>
    <w:p>
      <w:pPr>
        <w:pStyle w:val="Heading2"/>
      </w:pPr>
      <w:r>
        <w:rPr/>
        <w:t>Мера</w:t>
      </w:r>
      <w:r>
        <w:rPr>
          <w:spacing w:val="-5"/>
        </w:rPr>
        <w:t> </w:t>
      </w:r>
      <w:r>
        <w:rPr/>
        <w:t>1.4.</w:t>
      </w:r>
      <w:r>
        <w:rPr>
          <w:spacing w:val="-2"/>
        </w:rPr>
        <w:t> </w:t>
      </w:r>
      <w:r>
        <w:rPr/>
        <w:t>-</w:t>
      </w:r>
      <w:r>
        <w:rPr>
          <w:spacing w:val="-4"/>
        </w:rPr>
        <w:t> </w:t>
      </w:r>
      <w:r>
        <w:rPr/>
        <w:t>Интегрисање</w:t>
      </w:r>
      <w:r>
        <w:rPr>
          <w:spacing w:val="-3"/>
        </w:rPr>
        <w:t> </w:t>
      </w:r>
      <w:r>
        <w:rPr/>
        <w:t>корисника</w:t>
      </w:r>
      <w:r>
        <w:rPr>
          <w:spacing w:val="-3"/>
        </w:rPr>
        <w:t> </w:t>
      </w:r>
      <w:r>
        <w:rPr/>
        <w:t>услуга</w:t>
      </w:r>
      <w:r>
        <w:rPr>
          <w:spacing w:val="-2"/>
        </w:rPr>
        <w:t> </w:t>
      </w:r>
      <w:r>
        <w:rPr/>
        <w:t>социјалне</w:t>
      </w:r>
      <w:r>
        <w:rPr>
          <w:spacing w:val="-3"/>
        </w:rPr>
        <w:t> </w:t>
      </w:r>
      <w:r>
        <w:rPr/>
        <w:t>заштите</w:t>
      </w:r>
      <w:r>
        <w:rPr>
          <w:spacing w:val="-4"/>
        </w:rPr>
        <w:t> </w:t>
      </w:r>
      <w:r>
        <w:rPr/>
        <w:t>на</w:t>
      </w:r>
      <w:r>
        <w:rPr>
          <w:spacing w:val="-2"/>
        </w:rPr>
        <w:t> </w:t>
      </w:r>
      <w:r>
        <w:rPr/>
        <w:t>тржиште</w:t>
      </w:r>
      <w:r>
        <w:rPr>
          <w:spacing w:val="-3"/>
        </w:rPr>
        <w:t> </w:t>
      </w:r>
      <w:r>
        <w:rPr>
          <w:spacing w:val="-4"/>
        </w:rPr>
        <w:t>рада</w:t>
      </w:r>
    </w:p>
    <w:p>
      <w:pPr>
        <w:pStyle w:val="BodyText"/>
        <w:spacing w:before="38"/>
        <w:ind w:left="0"/>
        <w:jc w:val="left"/>
        <w:rPr>
          <w:b/>
        </w:rPr>
      </w:pPr>
    </w:p>
    <w:p>
      <w:pPr>
        <w:pStyle w:val="BodyText"/>
        <w:ind w:right="716" w:firstLine="719"/>
      </w:pPr>
      <w:r>
        <w:rPr/>
        <w:t>Мера</w:t>
      </w:r>
      <w:r>
        <w:rPr>
          <w:spacing w:val="-5"/>
        </w:rPr>
        <w:t> </w:t>
      </w:r>
      <w:r>
        <w:rPr/>
        <w:t>треба</w:t>
      </w:r>
      <w:r>
        <w:rPr>
          <w:spacing w:val="-5"/>
        </w:rPr>
        <w:t> </w:t>
      </w:r>
      <w:r>
        <w:rPr/>
        <w:t>да</w:t>
      </w:r>
      <w:r>
        <w:rPr>
          <w:spacing w:val="-5"/>
        </w:rPr>
        <w:t> </w:t>
      </w:r>
      <w:r>
        <w:rPr/>
        <w:t>допринесе</w:t>
      </w:r>
      <w:r>
        <w:rPr>
          <w:spacing w:val="-3"/>
        </w:rPr>
        <w:t> </w:t>
      </w:r>
      <w:r>
        <w:rPr/>
        <w:t>укључивању</w:t>
      </w:r>
      <w:r>
        <w:rPr>
          <w:spacing w:val="-9"/>
        </w:rPr>
        <w:t> </w:t>
      </w:r>
      <w:r>
        <w:rPr/>
        <w:t>на</w:t>
      </w:r>
      <w:r>
        <w:rPr>
          <w:spacing w:val="-5"/>
        </w:rPr>
        <w:t> </w:t>
      </w:r>
      <w:r>
        <w:rPr/>
        <w:t>тржиште</w:t>
      </w:r>
      <w:r>
        <w:rPr>
          <w:spacing w:val="-4"/>
        </w:rPr>
        <w:t> </w:t>
      </w:r>
      <w:r>
        <w:rPr/>
        <w:t>рада</w:t>
      </w:r>
      <w:r>
        <w:rPr>
          <w:spacing w:val="-5"/>
        </w:rPr>
        <w:t> </w:t>
      </w:r>
      <w:r>
        <w:rPr/>
        <w:t>радно</w:t>
      </w:r>
      <w:r>
        <w:rPr>
          <w:spacing w:val="-4"/>
        </w:rPr>
        <w:t> </w:t>
      </w:r>
      <w:r>
        <w:rPr/>
        <w:t>способних</w:t>
      </w:r>
      <w:r>
        <w:rPr>
          <w:spacing w:val="-5"/>
        </w:rPr>
        <w:t> </w:t>
      </w:r>
      <w:r>
        <w:rPr/>
        <w:t>корисника услуга социјалне заштите за које се питање њиховог запошљавања, као важног корака у </w:t>
      </w:r>
      <w:r>
        <w:rPr>
          <w:spacing w:val="-2"/>
        </w:rPr>
        <w:t>процесу</w:t>
      </w:r>
      <w:r>
        <w:rPr>
          <w:spacing w:val="-9"/>
        </w:rPr>
        <w:t> </w:t>
      </w:r>
      <w:r>
        <w:rPr>
          <w:spacing w:val="-2"/>
        </w:rPr>
        <w:t>социјалне</w:t>
      </w:r>
      <w:r>
        <w:rPr>
          <w:spacing w:val="-4"/>
        </w:rPr>
        <w:t> </w:t>
      </w:r>
      <w:r>
        <w:rPr>
          <w:spacing w:val="-2"/>
        </w:rPr>
        <w:t>интеграције,</w:t>
      </w:r>
      <w:r>
        <w:rPr>
          <w:spacing w:val="-3"/>
        </w:rPr>
        <w:t> </w:t>
      </w:r>
      <w:r>
        <w:rPr>
          <w:spacing w:val="-2"/>
        </w:rPr>
        <w:t>не</w:t>
      </w:r>
      <w:r>
        <w:rPr>
          <w:spacing w:val="-4"/>
        </w:rPr>
        <w:t> </w:t>
      </w:r>
      <w:r>
        <w:rPr>
          <w:spacing w:val="-2"/>
        </w:rPr>
        <w:t>може</w:t>
      </w:r>
      <w:r>
        <w:rPr>
          <w:spacing w:val="-4"/>
        </w:rPr>
        <w:t> </w:t>
      </w:r>
      <w:r>
        <w:rPr>
          <w:spacing w:val="-2"/>
        </w:rPr>
        <w:t>решавати изоловано</w:t>
      </w:r>
      <w:r>
        <w:rPr>
          <w:spacing w:val="-3"/>
        </w:rPr>
        <w:t> </w:t>
      </w:r>
      <w:r>
        <w:rPr>
          <w:spacing w:val="-2"/>
        </w:rPr>
        <w:t>од</w:t>
      </w:r>
      <w:r>
        <w:rPr>
          <w:spacing w:val="-3"/>
        </w:rPr>
        <w:t> </w:t>
      </w:r>
      <w:r>
        <w:rPr>
          <w:spacing w:val="-2"/>
        </w:rPr>
        <w:t>решавања</w:t>
      </w:r>
      <w:r>
        <w:rPr>
          <w:spacing w:val="-4"/>
        </w:rPr>
        <w:t> </w:t>
      </w:r>
      <w:r>
        <w:rPr>
          <w:spacing w:val="-2"/>
        </w:rPr>
        <w:t>сложене</w:t>
      </w:r>
      <w:r>
        <w:rPr>
          <w:spacing w:val="-4"/>
        </w:rPr>
        <w:t> </w:t>
      </w:r>
      <w:r>
        <w:rPr>
          <w:spacing w:val="-2"/>
        </w:rPr>
        <w:t>животне </w:t>
      </w:r>
      <w:r>
        <w:rPr/>
        <w:t>ситуације у којој се налазе. Посматрано из перспективе ових појединаца, запошљавање је предуслов</w:t>
      </w:r>
      <w:r>
        <w:rPr>
          <w:spacing w:val="75"/>
          <w:w w:val="150"/>
        </w:rPr>
        <w:t> </w:t>
      </w:r>
      <w:r>
        <w:rPr/>
        <w:t>интеграције</w:t>
      </w:r>
      <w:r>
        <w:rPr>
          <w:spacing w:val="79"/>
          <w:w w:val="150"/>
        </w:rPr>
        <w:t> </w:t>
      </w:r>
      <w:r>
        <w:rPr/>
        <w:t>у</w:t>
      </w:r>
      <w:r>
        <w:rPr>
          <w:spacing w:val="74"/>
          <w:w w:val="150"/>
        </w:rPr>
        <w:t> </w:t>
      </w:r>
      <w:r>
        <w:rPr/>
        <w:t>друштво,</w:t>
      </w:r>
      <w:r>
        <w:rPr>
          <w:spacing w:val="78"/>
          <w:w w:val="150"/>
        </w:rPr>
        <w:t> </w:t>
      </w:r>
      <w:r>
        <w:rPr/>
        <w:t>а</w:t>
      </w:r>
      <w:r>
        <w:rPr>
          <w:spacing w:val="77"/>
          <w:w w:val="150"/>
        </w:rPr>
        <w:t> </w:t>
      </w:r>
      <w:r>
        <w:rPr/>
        <w:t>посматрано</w:t>
      </w:r>
      <w:r>
        <w:rPr>
          <w:spacing w:val="78"/>
          <w:w w:val="150"/>
        </w:rPr>
        <w:t> </w:t>
      </w:r>
      <w:r>
        <w:rPr/>
        <w:t>из</w:t>
      </w:r>
      <w:r>
        <w:rPr>
          <w:spacing w:val="76"/>
          <w:w w:val="150"/>
        </w:rPr>
        <w:t> </w:t>
      </w:r>
      <w:r>
        <w:rPr/>
        <w:t>перспективе</w:t>
      </w:r>
      <w:r>
        <w:rPr>
          <w:spacing w:val="77"/>
          <w:w w:val="150"/>
        </w:rPr>
        <w:t> </w:t>
      </w:r>
      <w:r>
        <w:rPr/>
        <w:t>друштва,</w:t>
      </w:r>
      <w:r>
        <w:rPr>
          <w:spacing w:val="78"/>
          <w:w w:val="150"/>
        </w:rPr>
        <w:t> </w:t>
      </w:r>
      <w:r>
        <w:rPr>
          <w:spacing w:val="-2"/>
        </w:rPr>
        <w:t>њихова</w:t>
      </w:r>
    </w:p>
    <w:p>
      <w:pPr>
        <w:pStyle w:val="BodyText"/>
        <w:spacing w:before="91"/>
        <w:ind w:left="0"/>
        <w:jc w:val="left"/>
        <w:rPr>
          <w:sz w:val="20"/>
        </w:rPr>
      </w:pPr>
      <w:r>
        <w:rPr>
          <w:sz w:val="20"/>
        </w:rPr>
        <mc:AlternateContent>
          <mc:Choice Requires="wps">
            <w:drawing>
              <wp:anchor distT="0" distB="0" distL="0" distR="0" allowOverlap="1" layoutInCell="1" locked="0" behindDoc="1" simplePos="0" relativeHeight="487601664">
                <wp:simplePos x="0" y="0"/>
                <wp:positionH relativeFrom="page">
                  <wp:posOffset>914704</wp:posOffset>
                </wp:positionH>
                <wp:positionV relativeFrom="paragraph">
                  <wp:posOffset>219124</wp:posOffset>
                </wp:positionV>
                <wp:extent cx="1829435" cy="952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253876pt;width:144.020pt;height:.72003pt;mso-position-horizontal-relative:page;mso-position-vertical-relative:paragraph;z-index:-15714816;mso-wrap-distance-left:0;mso-wrap-distance-right:0" id="docshape29" filled="true" fillcolor="#000000" stroked="false">
                <v:fill type="solid"/>
                <w10:wrap type="topAndBottom"/>
              </v:rect>
            </w:pict>
          </mc:Fallback>
        </mc:AlternateContent>
      </w:r>
    </w:p>
    <w:p>
      <w:pPr>
        <w:spacing w:before="121"/>
        <w:ind w:left="360" w:right="0" w:firstLine="0"/>
        <w:jc w:val="left"/>
        <w:rPr>
          <w:sz w:val="18"/>
        </w:rPr>
      </w:pPr>
      <w:r>
        <w:rPr>
          <w:rFonts w:ascii="Calibri" w:hAnsi="Calibri"/>
          <w:sz w:val="18"/>
          <w:vertAlign w:val="superscript"/>
        </w:rPr>
        <w:t>39</w:t>
      </w:r>
      <w:r>
        <w:rPr>
          <w:rFonts w:ascii="Calibri" w:hAnsi="Calibri"/>
          <w:spacing w:val="3"/>
          <w:sz w:val="18"/>
          <w:vertAlign w:val="baseline"/>
        </w:rPr>
        <w:t> </w:t>
      </w:r>
      <w:r>
        <w:rPr>
          <w:sz w:val="18"/>
          <w:vertAlign w:val="baseline"/>
        </w:rPr>
        <w:t>Студија</w:t>
      </w:r>
      <w:r>
        <w:rPr>
          <w:spacing w:val="-1"/>
          <w:sz w:val="18"/>
          <w:vertAlign w:val="baseline"/>
        </w:rPr>
        <w:t> </w:t>
      </w:r>
      <w:r>
        <w:rPr>
          <w:sz w:val="18"/>
          <w:vertAlign w:val="baseline"/>
        </w:rPr>
        <w:t>о</w:t>
      </w:r>
      <w:r>
        <w:rPr>
          <w:spacing w:val="1"/>
          <w:sz w:val="18"/>
          <w:vertAlign w:val="baseline"/>
        </w:rPr>
        <w:t> </w:t>
      </w:r>
      <w:r>
        <w:rPr>
          <w:sz w:val="18"/>
          <w:vertAlign w:val="baseline"/>
        </w:rPr>
        <w:t>положају</w:t>
      </w:r>
      <w:r>
        <w:rPr>
          <w:spacing w:val="-5"/>
          <w:sz w:val="18"/>
          <w:vertAlign w:val="baseline"/>
        </w:rPr>
        <w:t> </w:t>
      </w:r>
      <w:r>
        <w:rPr>
          <w:sz w:val="18"/>
          <w:vertAlign w:val="baseline"/>
        </w:rPr>
        <w:t>младих</w:t>
      </w:r>
      <w:r>
        <w:rPr>
          <w:spacing w:val="1"/>
          <w:sz w:val="18"/>
          <w:vertAlign w:val="baseline"/>
        </w:rPr>
        <w:t> </w:t>
      </w:r>
      <w:r>
        <w:rPr>
          <w:sz w:val="18"/>
          <w:vertAlign w:val="baseline"/>
        </w:rPr>
        <w:t>у</w:t>
      </w:r>
      <w:r>
        <w:rPr>
          <w:spacing w:val="-4"/>
          <w:sz w:val="18"/>
          <w:vertAlign w:val="baseline"/>
        </w:rPr>
        <w:t> </w:t>
      </w:r>
      <w:r>
        <w:rPr>
          <w:sz w:val="18"/>
          <w:vertAlign w:val="baseline"/>
        </w:rPr>
        <w:t>Србији,</w:t>
      </w:r>
      <w:r>
        <w:rPr>
          <w:spacing w:val="-1"/>
          <w:sz w:val="18"/>
          <w:vertAlign w:val="baseline"/>
        </w:rPr>
        <w:t> </w:t>
      </w:r>
      <w:r>
        <w:rPr>
          <w:sz w:val="18"/>
          <w:vertAlign w:val="baseline"/>
        </w:rPr>
        <w:t>ЕТФ</w:t>
      </w:r>
      <w:r>
        <w:rPr>
          <w:spacing w:val="-1"/>
          <w:sz w:val="18"/>
          <w:vertAlign w:val="baseline"/>
        </w:rPr>
        <w:t> </w:t>
      </w:r>
      <w:r>
        <w:rPr>
          <w:spacing w:val="-2"/>
          <w:sz w:val="18"/>
          <w:vertAlign w:val="baseline"/>
        </w:rPr>
        <w:t>(2020.)</w:t>
      </w:r>
    </w:p>
    <w:p>
      <w:pPr>
        <w:spacing w:after="0"/>
        <w:jc w:val="left"/>
        <w:rPr>
          <w:sz w:val="18"/>
        </w:rPr>
        <w:sectPr>
          <w:pgSz w:w="12240" w:h="15840"/>
          <w:pgMar w:header="0" w:footer="702" w:top="1360" w:bottom="900" w:left="1080" w:right="720"/>
        </w:sectPr>
      </w:pPr>
    </w:p>
    <w:p>
      <w:pPr>
        <w:pStyle w:val="BodyText"/>
        <w:spacing w:before="72"/>
        <w:ind w:right="722"/>
      </w:pPr>
      <w:r>
        <w:rPr/>
        <w:t>активација</w:t>
      </w:r>
      <w:r>
        <w:rPr>
          <w:spacing w:val="-15"/>
        </w:rPr>
        <w:t> </w:t>
      </w:r>
      <w:r>
        <w:rPr/>
        <w:t>и</w:t>
      </w:r>
      <w:r>
        <w:rPr>
          <w:spacing w:val="-15"/>
        </w:rPr>
        <w:t> </w:t>
      </w:r>
      <w:r>
        <w:rPr/>
        <w:t>запошљавање</w:t>
      </w:r>
      <w:r>
        <w:rPr>
          <w:spacing w:val="-15"/>
        </w:rPr>
        <w:t> </w:t>
      </w:r>
      <w:r>
        <w:rPr/>
        <w:t>представљају</w:t>
      </w:r>
      <w:r>
        <w:rPr>
          <w:spacing w:val="-15"/>
        </w:rPr>
        <w:t> </w:t>
      </w:r>
      <w:r>
        <w:rPr/>
        <w:t>одговор</w:t>
      </w:r>
      <w:r>
        <w:rPr>
          <w:spacing w:val="-15"/>
        </w:rPr>
        <w:t> </w:t>
      </w:r>
      <w:r>
        <w:rPr/>
        <w:t>на</w:t>
      </w:r>
      <w:r>
        <w:rPr>
          <w:spacing w:val="-15"/>
        </w:rPr>
        <w:t> </w:t>
      </w:r>
      <w:r>
        <w:rPr/>
        <w:t>потребе</w:t>
      </w:r>
      <w:r>
        <w:rPr>
          <w:spacing w:val="-15"/>
        </w:rPr>
        <w:t> </w:t>
      </w:r>
      <w:r>
        <w:rPr/>
        <w:t>динамичног</w:t>
      </w:r>
      <w:r>
        <w:rPr>
          <w:spacing w:val="-15"/>
        </w:rPr>
        <w:t> </w:t>
      </w:r>
      <w:r>
        <w:rPr/>
        <w:t>тржишта</w:t>
      </w:r>
      <w:r>
        <w:rPr>
          <w:spacing w:val="-15"/>
        </w:rPr>
        <w:t> </w:t>
      </w:r>
      <w:r>
        <w:rPr/>
        <w:t>рада</w:t>
      </w:r>
      <w:r>
        <w:rPr>
          <w:spacing w:val="-15"/>
        </w:rPr>
        <w:t> </w:t>
      </w:r>
      <w:r>
        <w:rPr/>
        <w:t>које се манифестују као потреба за повећањем броја активних становника/радне снаге.</w:t>
      </w:r>
    </w:p>
    <w:p>
      <w:pPr>
        <w:pStyle w:val="BodyText"/>
        <w:spacing w:before="120"/>
        <w:ind w:right="715" w:firstLine="719"/>
      </w:pPr>
      <w:r>
        <w:rPr/>
        <w:t>Запошљавање радно способних корисника новчане социјалне помоћи (НСП) већ неко</w:t>
      </w:r>
      <w:r>
        <w:rPr>
          <w:spacing w:val="-15"/>
        </w:rPr>
        <w:t> </w:t>
      </w:r>
      <w:r>
        <w:rPr/>
        <w:t>време</w:t>
      </w:r>
      <w:r>
        <w:rPr>
          <w:spacing w:val="-15"/>
        </w:rPr>
        <w:t> </w:t>
      </w:r>
      <w:r>
        <w:rPr/>
        <w:t>се</w:t>
      </w:r>
      <w:r>
        <w:rPr>
          <w:spacing w:val="-15"/>
        </w:rPr>
        <w:t> </w:t>
      </w:r>
      <w:r>
        <w:rPr/>
        <w:t>налази</w:t>
      </w:r>
      <w:r>
        <w:rPr>
          <w:spacing w:val="-15"/>
        </w:rPr>
        <w:t> </w:t>
      </w:r>
      <w:r>
        <w:rPr/>
        <w:t>у</w:t>
      </w:r>
      <w:r>
        <w:rPr>
          <w:spacing w:val="-15"/>
        </w:rPr>
        <w:t> </w:t>
      </w:r>
      <w:r>
        <w:rPr/>
        <w:t>средишту</w:t>
      </w:r>
      <w:r>
        <w:rPr>
          <w:spacing w:val="-15"/>
        </w:rPr>
        <w:t> </w:t>
      </w:r>
      <w:r>
        <w:rPr/>
        <w:t>интереса</w:t>
      </w:r>
      <w:r>
        <w:rPr>
          <w:spacing w:val="-15"/>
        </w:rPr>
        <w:t> </w:t>
      </w:r>
      <w:r>
        <w:rPr/>
        <w:t>креатора</w:t>
      </w:r>
      <w:r>
        <w:rPr>
          <w:spacing w:val="-15"/>
        </w:rPr>
        <w:t> </w:t>
      </w:r>
      <w:r>
        <w:rPr/>
        <w:t>политика,</w:t>
      </w:r>
      <w:r>
        <w:rPr>
          <w:spacing w:val="-15"/>
        </w:rPr>
        <w:t> </w:t>
      </w:r>
      <w:r>
        <w:rPr/>
        <w:t>будући</w:t>
      </w:r>
      <w:r>
        <w:rPr>
          <w:spacing w:val="-15"/>
        </w:rPr>
        <w:t> </w:t>
      </w:r>
      <w:r>
        <w:rPr/>
        <w:t>да</w:t>
      </w:r>
      <w:r>
        <w:rPr>
          <w:spacing w:val="-15"/>
        </w:rPr>
        <w:t> </w:t>
      </w:r>
      <w:r>
        <w:rPr/>
        <w:t>се</w:t>
      </w:r>
      <w:r>
        <w:rPr>
          <w:spacing w:val="-15"/>
        </w:rPr>
        <w:t> </w:t>
      </w:r>
      <w:r>
        <w:rPr/>
        <w:t>за</w:t>
      </w:r>
      <w:r>
        <w:rPr>
          <w:spacing w:val="-15"/>
        </w:rPr>
        <w:t> </w:t>
      </w:r>
      <w:r>
        <w:rPr/>
        <w:t>НСП</w:t>
      </w:r>
      <w:r>
        <w:rPr>
          <w:spacing w:val="-15"/>
        </w:rPr>
        <w:t> </w:t>
      </w:r>
      <w:r>
        <w:rPr/>
        <w:t>издвајају значајна средстава из буџета, а да се са друге стране, на тржишту</w:t>
      </w:r>
      <w:r>
        <w:rPr>
          <w:spacing w:val="-2"/>
        </w:rPr>
        <w:t> </w:t>
      </w:r>
      <w:r>
        <w:rPr/>
        <w:t>рада у</w:t>
      </w:r>
      <w:r>
        <w:rPr>
          <w:spacing w:val="-2"/>
        </w:rPr>
        <w:t> </w:t>
      </w:r>
      <w:r>
        <w:rPr/>
        <w:t>Србији све чешће појављује недостатак радне снаге. Због тога се од 2015. године започело са праксом заједничког рада институција система социјалне заштите и система запошљавања где центри за социјални рад и НСЗ на основу формализоване сарадње, односно потписаних протокола о сарадњи, примењују интегрисану услугу као иновативан начин пружања подршке радно способним корисницима НСП, у циљу њиховог запошљавања које води ка одрживом и трајном социјалном укључивању. Интегрисану услугу је потребно даље развијати, али је истовремено потребно спровести и реформу система новчане социјалне помоћи, на начин да се преиспита висина износа НСП који је сада на нивоу да омогућава преживљавање, а који би требало да омогући да корисници НСП инвестирају у лични развој,</w:t>
      </w:r>
      <w:r>
        <w:rPr>
          <w:spacing w:val="-14"/>
        </w:rPr>
        <w:t> </w:t>
      </w:r>
      <w:r>
        <w:rPr/>
        <w:t>посебно</w:t>
      </w:r>
      <w:r>
        <w:rPr>
          <w:spacing w:val="-8"/>
        </w:rPr>
        <w:t> </w:t>
      </w:r>
      <w:r>
        <w:rPr/>
        <w:t>у</w:t>
      </w:r>
      <w:r>
        <w:rPr>
          <w:spacing w:val="-15"/>
        </w:rPr>
        <w:t> </w:t>
      </w:r>
      <w:r>
        <w:rPr/>
        <w:t>образовање</w:t>
      </w:r>
      <w:r>
        <w:rPr>
          <w:spacing w:val="-12"/>
        </w:rPr>
        <w:t> </w:t>
      </w:r>
      <w:r>
        <w:rPr/>
        <w:t>и</w:t>
      </w:r>
      <w:r>
        <w:rPr>
          <w:spacing w:val="-10"/>
        </w:rPr>
        <w:t> </w:t>
      </w:r>
      <w:r>
        <w:rPr/>
        <w:t>развој</w:t>
      </w:r>
      <w:r>
        <w:rPr>
          <w:spacing w:val="-11"/>
        </w:rPr>
        <w:t> </w:t>
      </w:r>
      <w:r>
        <w:rPr/>
        <w:t>своје</w:t>
      </w:r>
      <w:r>
        <w:rPr>
          <w:spacing w:val="-12"/>
        </w:rPr>
        <w:t> </w:t>
      </w:r>
      <w:r>
        <w:rPr/>
        <w:t>деце,</w:t>
      </w:r>
      <w:r>
        <w:rPr>
          <w:spacing w:val="-11"/>
        </w:rPr>
        <w:t> </w:t>
      </w:r>
      <w:r>
        <w:rPr/>
        <w:t>што</w:t>
      </w:r>
      <w:r>
        <w:rPr>
          <w:spacing w:val="-10"/>
        </w:rPr>
        <w:t> </w:t>
      </w:r>
      <w:r>
        <w:rPr/>
        <w:t>би,</w:t>
      </w:r>
      <w:r>
        <w:rPr>
          <w:spacing w:val="-13"/>
        </w:rPr>
        <w:t> </w:t>
      </w:r>
      <w:r>
        <w:rPr/>
        <w:t>дугорочно</w:t>
      </w:r>
      <w:r>
        <w:rPr>
          <w:spacing w:val="-11"/>
        </w:rPr>
        <w:t> </w:t>
      </w:r>
      <w:r>
        <w:rPr/>
        <w:t>посматрано,</w:t>
      </w:r>
      <w:r>
        <w:rPr>
          <w:spacing w:val="-11"/>
        </w:rPr>
        <w:t> </w:t>
      </w:r>
      <w:r>
        <w:rPr/>
        <w:t>допринело како смањењу броја трансгенерацијских корисника НСП за које је социјално укључивање највећи изазов, тако и унапређењу људског капитала Србије.</w:t>
      </w:r>
    </w:p>
    <w:p>
      <w:pPr>
        <w:pStyle w:val="BodyText"/>
        <w:spacing w:before="121"/>
        <w:ind w:right="716" w:firstLine="719"/>
      </w:pPr>
      <w:r>
        <w:rPr/>
        <w:t>Претпоставка за даљи развој интегрисане услуге са реалним потенцијалом да буде ефикасна јесте да се спроведе радикална промена укупног приступа проблематици оснаживања рањивих група, којим би се у центар пажње социјалне и развојне политике довео концепт социјалног инвестирања. Овај приступ се у интерпретацији Европске комисије</w:t>
      </w:r>
      <w:r>
        <w:rPr>
          <w:spacing w:val="-15"/>
        </w:rPr>
        <w:t> </w:t>
      </w:r>
      <w:r>
        <w:rPr/>
        <w:t>заснива</w:t>
      </w:r>
      <w:r>
        <w:rPr>
          <w:spacing w:val="-15"/>
        </w:rPr>
        <w:t> </w:t>
      </w:r>
      <w:r>
        <w:rPr/>
        <w:t>на</w:t>
      </w:r>
      <w:r>
        <w:rPr>
          <w:spacing w:val="-15"/>
        </w:rPr>
        <w:t> </w:t>
      </w:r>
      <w:r>
        <w:rPr/>
        <w:t>политикама</w:t>
      </w:r>
      <w:r>
        <w:rPr>
          <w:spacing w:val="-15"/>
        </w:rPr>
        <w:t> </w:t>
      </w:r>
      <w:r>
        <w:rPr/>
        <w:t>осмишљеним</w:t>
      </w:r>
      <w:r>
        <w:rPr>
          <w:spacing w:val="-15"/>
        </w:rPr>
        <w:t> </w:t>
      </w:r>
      <w:r>
        <w:rPr/>
        <w:t>да</w:t>
      </w:r>
      <w:r>
        <w:rPr>
          <w:spacing w:val="-15"/>
        </w:rPr>
        <w:t> </w:t>
      </w:r>
      <w:r>
        <w:rPr/>
        <w:t>ојачају</w:t>
      </w:r>
      <w:r>
        <w:rPr>
          <w:spacing w:val="-15"/>
        </w:rPr>
        <w:t> </w:t>
      </w:r>
      <w:r>
        <w:rPr/>
        <w:t>знања,</w:t>
      </w:r>
      <w:r>
        <w:rPr>
          <w:spacing w:val="-15"/>
        </w:rPr>
        <w:t> </w:t>
      </w:r>
      <w:r>
        <w:rPr/>
        <w:t>вештине</w:t>
      </w:r>
      <w:r>
        <w:rPr>
          <w:spacing w:val="-15"/>
        </w:rPr>
        <w:t> </w:t>
      </w:r>
      <w:r>
        <w:rPr/>
        <w:t>и</w:t>
      </w:r>
      <w:r>
        <w:rPr>
          <w:spacing w:val="-14"/>
        </w:rPr>
        <w:t> </w:t>
      </w:r>
      <w:r>
        <w:rPr/>
        <w:t>капацитете</w:t>
      </w:r>
      <w:r>
        <w:rPr>
          <w:spacing w:val="-15"/>
        </w:rPr>
        <w:t> </w:t>
      </w:r>
      <w:r>
        <w:rPr/>
        <w:t>људи и подрже их да у потпуности учествују у запошљавању и друштвеном животу. Манифестација овакве радикалне промене у системским решењима, била би нпр. да се одређена права из социјалне заштите не умањују или чак потпуно не укидају истовремено са</w:t>
      </w:r>
      <w:r>
        <w:rPr>
          <w:spacing w:val="-15"/>
        </w:rPr>
        <w:t> </w:t>
      </w:r>
      <w:r>
        <w:rPr/>
        <w:t>запошљавањем</w:t>
      </w:r>
      <w:r>
        <w:rPr>
          <w:spacing w:val="-15"/>
        </w:rPr>
        <w:t> </w:t>
      </w:r>
      <w:r>
        <w:rPr/>
        <w:t>(известан</w:t>
      </w:r>
      <w:r>
        <w:rPr>
          <w:spacing w:val="-15"/>
        </w:rPr>
        <w:t> </w:t>
      </w:r>
      <w:r>
        <w:rPr/>
        <w:t>временски</w:t>
      </w:r>
      <w:r>
        <w:rPr>
          <w:spacing w:val="-15"/>
        </w:rPr>
        <w:t> </w:t>
      </w:r>
      <w:r>
        <w:rPr/>
        <w:t>период)</w:t>
      </w:r>
      <w:r>
        <w:rPr>
          <w:spacing w:val="-15"/>
        </w:rPr>
        <w:t> </w:t>
      </w:r>
      <w:r>
        <w:rPr/>
        <w:t>или</w:t>
      </w:r>
      <w:r>
        <w:rPr>
          <w:spacing w:val="-15"/>
        </w:rPr>
        <w:t> </w:t>
      </w:r>
      <w:r>
        <w:rPr/>
        <w:t>са</w:t>
      </w:r>
      <w:r>
        <w:rPr>
          <w:spacing w:val="-15"/>
        </w:rPr>
        <w:t> </w:t>
      </w:r>
      <w:r>
        <w:rPr/>
        <w:t>укључивањем</w:t>
      </w:r>
      <w:r>
        <w:rPr>
          <w:spacing w:val="-15"/>
        </w:rPr>
        <w:t> </w:t>
      </w:r>
      <w:r>
        <w:rPr/>
        <w:t>у</w:t>
      </w:r>
      <w:r>
        <w:rPr>
          <w:spacing w:val="-15"/>
        </w:rPr>
        <w:t> </w:t>
      </w:r>
      <w:r>
        <w:rPr/>
        <w:t>мере</w:t>
      </w:r>
      <w:r>
        <w:rPr>
          <w:spacing w:val="-15"/>
        </w:rPr>
        <w:t> </w:t>
      </w:r>
      <w:r>
        <w:rPr/>
        <w:t>АПЗ.</w:t>
      </w:r>
      <w:r>
        <w:rPr>
          <w:spacing w:val="-15"/>
        </w:rPr>
        <w:t> </w:t>
      </w:r>
      <w:r>
        <w:rPr/>
        <w:t>Стављање лица које се налази у сложеним животним околностима услед којих је дуго одсутно са тржишта</w:t>
      </w:r>
      <w:r>
        <w:rPr>
          <w:spacing w:val="-15"/>
        </w:rPr>
        <w:t> </w:t>
      </w:r>
      <w:r>
        <w:rPr/>
        <w:t>рада</w:t>
      </w:r>
      <w:r>
        <w:rPr>
          <w:spacing w:val="-9"/>
        </w:rPr>
        <w:t> </w:t>
      </w:r>
      <w:r>
        <w:rPr/>
        <w:t>у</w:t>
      </w:r>
      <w:r>
        <w:rPr>
          <w:spacing w:val="-15"/>
        </w:rPr>
        <w:t> </w:t>
      </w:r>
      <w:r>
        <w:rPr/>
        <w:t>ситуацију</w:t>
      </w:r>
      <w:r>
        <w:rPr>
          <w:spacing w:val="-15"/>
        </w:rPr>
        <w:t> </w:t>
      </w:r>
      <w:r>
        <w:rPr/>
        <w:t>да</w:t>
      </w:r>
      <w:r>
        <w:rPr>
          <w:spacing w:val="-11"/>
        </w:rPr>
        <w:t> </w:t>
      </w:r>
      <w:r>
        <w:rPr/>
        <w:t>се</w:t>
      </w:r>
      <w:r>
        <w:rPr>
          <w:spacing w:val="-11"/>
        </w:rPr>
        <w:t> </w:t>
      </w:r>
      <w:r>
        <w:rPr/>
        <w:t>одрекне</w:t>
      </w:r>
      <w:r>
        <w:rPr>
          <w:spacing w:val="-11"/>
        </w:rPr>
        <w:t> </w:t>
      </w:r>
      <w:r>
        <w:rPr/>
        <w:t>релативне</w:t>
      </w:r>
      <w:r>
        <w:rPr>
          <w:spacing w:val="-11"/>
        </w:rPr>
        <w:t> </w:t>
      </w:r>
      <w:r>
        <w:rPr/>
        <w:t>сигурности</w:t>
      </w:r>
      <w:r>
        <w:rPr>
          <w:spacing w:val="-9"/>
        </w:rPr>
        <w:t> </w:t>
      </w:r>
      <w:r>
        <w:rPr/>
        <w:t>коју</w:t>
      </w:r>
      <w:r>
        <w:rPr>
          <w:spacing w:val="-15"/>
        </w:rPr>
        <w:t> </w:t>
      </w:r>
      <w:r>
        <w:rPr/>
        <w:t>пружа</w:t>
      </w:r>
      <w:r>
        <w:rPr>
          <w:spacing w:val="-11"/>
        </w:rPr>
        <w:t> </w:t>
      </w:r>
      <w:r>
        <w:rPr/>
        <w:t>систем</w:t>
      </w:r>
      <w:r>
        <w:rPr>
          <w:spacing w:val="-5"/>
        </w:rPr>
        <w:t> </w:t>
      </w:r>
      <w:r>
        <w:rPr/>
        <w:t>социјалне заштите</w:t>
      </w:r>
      <w:r>
        <w:rPr>
          <w:spacing w:val="-3"/>
        </w:rPr>
        <w:t> </w:t>
      </w:r>
      <w:r>
        <w:rPr/>
        <w:t>и</w:t>
      </w:r>
      <w:r>
        <w:rPr>
          <w:spacing w:val="-1"/>
        </w:rPr>
        <w:t> </w:t>
      </w:r>
      <w:r>
        <w:rPr/>
        <w:t>упусти у</w:t>
      </w:r>
      <w:r>
        <w:rPr>
          <w:spacing w:val="-8"/>
        </w:rPr>
        <w:t> </w:t>
      </w:r>
      <w:r>
        <w:rPr/>
        <w:t>неизвесност</w:t>
      </w:r>
      <w:r>
        <w:rPr>
          <w:spacing w:val="-3"/>
        </w:rPr>
        <w:t> </w:t>
      </w:r>
      <w:r>
        <w:rPr/>
        <w:t>тржишта</w:t>
      </w:r>
      <w:r>
        <w:rPr>
          <w:spacing w:val="-3"/>
        </w:rPr>
        <w:t> </w:t>
      </w:r>
      <w:r>
        <w:rPr/>
        <w:t>рада,</w:t>
      </w:r>
      <w:r>
        <w:rPr>
          <w:spacing w:val="-3"/>
        </w:rPr>
        <w:t> </w:t>
      </w:r>
      <w:r>
        <w:rPr/>
        <w:t>не</w:t>
      </w:r>
      <w:r>
        <w:rPr>
          <w:spacing w:val="-4"/>
        </w:rPr>
        <w:t> </w:t>
      </w:r>
      <w:r>
        <w:rPr/>
        <w:t>може</w:t>
      </w:r>
      <w:r>
        <w:rPr>
          <w:spacing w:val="-5"/>
        </w:rPr>
        <w:t> </w:t>
      </w:r>
      <w:r>
        <w:rPr/>
        <w:t>да</w:t>
      </w:r>
      <w:r>
        <w:rPr>
          <w:spacing w:val="-4"/>
        </w:rPr>
        <w:t> </w:t>
      </w:r>
      <w:r>
        <w:rPr/>
        <w:t>донесе</w:t>
      </w:r>
      <w:r>
        <w:rPr>
          <w:spacing w:val="-4"/>
        </w:rPr>
        <w:t> </w:t>
      </w:r>
      <w:r>
        <w:rPr/>
        <w:t>значајније</w:t>
      </w:r>
      <w:r>
        <w:rPr>
          <w:spacing w:val="-3"/>
        </w:rPr>
        <w:t> </w:t>
      </w:r>
      <w:r>
        <w:rPr/>
        <w:t>резултате,</w:t>
      </w:r>
      <w:r>
        <w:rPr>
          <w:spacing w:val="-3"/>
        </w:rPr>
        <w:t> </w:t>
      </w:r>
      <w:r>
        <w:rPr/>
        <w:t>без обзира на сав уложени труд који ће оба система, запошљавање и социјална заштита, уложити у пружање подршке лицу.</w:t>
      </w:r>
    </w:p>
    <w:p>
      <w:pPr>
        <w:pStyle w:val="BodyText"/>
        <w:spacing w:before="121"/>
        <w:ind w:right="717" w:firstLine="719"/>
      </w:pPr>
      <w:r>
        <w:rPr/>
        <w:t>Надаље, интегрисану услугу треба развијати у правцу проширења циљне групе корисника на све радно способне кориснике услуга социјалне заштите, поред већ обухваћених радно</w:t>
      </w:r>
      <w:r>
        <w:rPr>
          <w:spacing w:val="-2"/>
        </w:rPr>
        <w:t> </w:t>
      </w:r>
      <w:r>
        <w:rPr/>
        <w:t>способних корисника</w:t>
      </w:r>
      <w:r>
        <w:rPr>
          <w:spacing w:val="-3"/>
        </w:rPr>
        <w:t> </w:t>
      </w:r>
      <w:r>
        <w:rPr/>
        <w:t>НСП.</w:t>
      </w:r>
      <w:r>
        <w:rPr>
          <w:spacing w:val="-3"/>
        </w:rPr>
        <w:t> </w:t>
      </w:r>
      <w:r>
        <w:rPr/>
        <w:t>Млади</w:t>
      </w:r>
      <w:r>
        <w:rPr>
          <w:spacing w:val="-2"/>
        </w:rPr>
        <w:t> </w:t>
      </w:r>
      <w:r>
        <w:rPr/>
        <w:t>са</w:t>
      </w:r>
      <w:r>
        <w:rPr>
          <w:spacing w:val="-3"/>
        </w:rPr>
        <w:t> </w:t>
      </w:r>
      <w:r>
        <w:rPr/>
        <w:t>статусом</w:t>
      </w:r>
      <w:r>
        <w:rPr>
          <w:spacing w:val="-3"/>
        </w:rPr>
        <w:t> </w:t>
      </w:r>
      <w:r>
        <w:rPr/>
        <w:t>детета</w:t>
      </w:r>
      <w:r>
        <w:rPr>
          <w:spacing w:val="-3"/>
        </w:rPr>
        <w:t> </w:t>
      </w:r>
      <w:r>
        <w:rPr/>
        <w:t>без</w:t>
      </w:r>
      <w:r>
        <w:rPr>
          <w:spacing w:val="-1"/>
        </w:rPr>
        <w:t> </w:t>
      </w:r>
      <w:r>
        <w:rPr/>
        <w:t>родитељског старања, односно незапослени млади који су били у домском смештају, хранитељским и старатељским</w:t>
      </w:r>
      <w:r>
        <w:rPr>
          <w:spacing w:val="-9"/>
        </w:rPr>
        <w:t> </w:t>
      </w:r>
      <w:r>
        <w:rPr/>
        <w:t>породицама,</w:t>
      </w:r>
      <w:r>
        <w:rPr>
          <w:spacing w:val="-8"/>
        </w:rPr>
        <w:t> </w:t>
      </w:r>
      <w:r>
        <w:rPr/>
        <w:t>жртве</w:t>
      </w:r>
      <w:r>
        <w:rPr>
          <w:spacing w:val="-9"/>
        </w:rPr>
        <w:t> </w:t>
      </w:r>
      <w:r>
        <w:rPr/>
        <w:t>насиља</w:t>
      </w:r>
      <w:r>
        <w:rPr>
          <w:spacing w:val="-7"/>
        </w:rPr>
        <w:t> </w:t>
      </w:r>
      <w:r>
        <w:rPr/>
        <w:t>у</w:t>
      </w:r>
      <w:r>
        <w:rPr>
          <w:spacing w:val="-13"/>
        </w:rPr>
        <w:t> </w:t>
      </w:r>
      <w:r>
        <w:rPr/>
        <w:t>породици,</w:t>
      </w:r>
      <w:r>
        <w:rPr>
          <w:spacing w:val="-8"/>
        </w:rPr>
        <w:t> </w:t>
      </w:r>
      <w:r>
        <w:rPr/>
        <w:t>жртве</w:t>
      </w:r>
      <w:r>
        <w:rPr>
          <w:spacing w:val="-9"/>
        </w:rPr>
        <w:t> </w:t>
      </w:r>
      <w:r>
        <w:rPr/>
        <w:t>трговине</w:t>
      </w:r>
      <w:r>
        <w:rPr>
          <w:spacing w:val="-12"/>
        </w:rPr>
        <w:t> </w:t>
      </w:r>
      <w:r>
        <w:rPr/>
        <w:t>људима,</w:t>
      </w:r>
      <w:r>
        <w:rPr>
          <w:spacing w:val="-8"/>
        </w:rPr>
        <w:t> </w:t>
      </w:r>
      <w:r>
        <w:rPr/>
        <w:t>повратници на основу споразума о реадмисији, ОСИ, бивши извршиоци кривичних дела и др, представљају категорије на чијој активацији два система, социјална заштита и запошљавање, треба да удруже снаге, координирају активности и заједно приступе решавању ситуације сваког појединачног лица. Досадашњу праксу треба употпунити на начин да се препознавање заједничких клијената врши и у филијалама НСЗ, а не само у центрима за социјални рад, као и укључивањем других релевантних актера у пружање интегрисане</w:t>
      </w:r>
      <w:r>
        <w:rPr>
          <w:spacing w:val="-15"/>
        </w:rPr>
        <w:t> </w:t>
      </w:r>
      <w:r>
        <w:rPr/>
        <w:t>услуге,</w:t>
      </w:r>
      <w:r>
        <w:rPr>
          <w:spacing w:val="-15"/>
        </w:rPr>
        <w:t> </w:t>
      </w:r>
      <w:r>
        <w:rPr/>
        <w:t>као</w:t>
      </w:r>
      <w:r>
        <w:rPr>
          <w:spacing w:val="-15"/>
        </w:rPr>
        <w:t> </w:t>
      </w:r>
      <w:r>
        <w:rPr/>
        <w:t>што</w:t>
      </w:r>
      <w:r>
        <w:rPr>
          <w:spacing w:val="-15"/>
        </w:rPr>
        <w:t> </w:t>
      </w:r>
      <w:r>
        <w:rPr/>
        <w:t>су</w:t>
      </w:r>
      <w:r>
        <w:rPr>
          <w:spacing w:val="-15"/>
        </w:rPr>
        <w:t> </w:t>
      </w:r>
      <w:r>
        <w:rPr/>
        <w:t>то</w:t>
      </w:r>
      <w:r>
        <w:rPr>
          <w:spacing w:val="-15"/>
        </w:rPr>
        <w:t> </w:t>
      </w:r>
      <w:r>
        <w:rPr/>
        <w:t>организације</w:t>
      </w:r>
      <w:r>
        <w:rPr>
          <w:spacing w:val="-15"/>
        </w:rPr>
        <w:t> </w:t>
      </w:r>
      <w:r>
        <w:rPr/>
        <w:t>цивилног</w:t>
      </w:r>
      <w:r>
        <w:rPr>
          <w:spacing w:val="-15"/>
        </w:rPr>
        <w:t> </w:t>
      </w:r>
      <w:r>
        <w:rPr/>
        <w:t>друштва</w:t>
      </w:r>
      <w:r>
        <w:rPr>
          <w:spacing w:val="-15"/>
        </w:rPr>
        <w:t> </w:t>
      </w:r>
      <w:r>
        <w:rPr/>
        <w:t>које</w:t>
      </w:r>
      <w:r>
        <w:rPr>
          <w:spacing w:val="-13"/>
        </w:rPr>
        <w:t> </w:t>
      </w:r>
      <w:r>
        <w:rPr/>
        <w:t>имају</w:t>
      </w:r>
      <w:r>
        <w:rPr>
          <w:spacing w:val="-15"/>
        </w:rPr>
        <w:t> </w:t>
      </w:r>
      <w:r>
        <w:rPr/>
        <w:t>добар</w:t>
      </w:r>
      <w:r>
        <w:rPr>
          <w:spacing w:val="-15"/>
        </w:rPr>
        <w:t> </w:t>
      </w:r>
      <w:r>
        <w:rPr/>
        <w:t>приступ конкретним категоријама вишеструко рањивих лица, затим институције образовања и здравства</w:t>
      </w:r>
      <w:r>
        <w:rPr>
          <w:spacing w:val="32"/>
        </w:rPr>
        <w:t> </w:t>
      </w:r>
      <w:r>
        <w:rPr/>
        <w:t>у</w:t>
      </w:r>
      <w:r>
        <w:rPr>
          <w:spacing w:val="22"/>
        </w:rPr>
        <w:t> </w:t>
      </w:r>
      <w:r>
        <w:rPr/>
        <w:t>домену</w:t>
      </w:r>
      <w:r>
        <w:rPr>
          <w:spacing w:val="23"/>
        </w:rPr>
        <w:t> </w:t>
      </w:r>
      <w:r>
        <w:rPr/>
        <w:t>пружања</w:t>
      </w:r>
      <w:r>
        <w:rPr>
          <w:spacing w:val="33"/>
        </w:rPr>
        <w:t> </w:t>
      </w:r>
      <w:r>
        <w:rPr/>
        <w:t>услуга</w:t>
      </w:r>
      <w:r>
        <w:rPr>
          <w:spacing w:val="30"/>
        </w:rPr>
        <w:t> </w:t>
      </w:r>
      <w:r>
        <w:rPr/>
        <w:t>из</w:t>
      </w:r>
      <w:r>
        <w:rPr>
          <w:spacing w:val="30"/>
        </w:rPr>
        <w:t> </w:t>
      </w:r>
      <w:r>
        <w:rPr/>
        <w:t>њихове</w:t>
      </w:r>
      <w:r>
        <w:rPr>
          <w:spacing w:val="29"/>
        </w:rPr>
        <w:t> </w:t>
      </w:r>
      <w:r>
        <w:rPr/>
        <w:t>надлежности,</w:t>
      </w:r>
      <w:r>
        <w:rPr>
          <w:spacing w:val="29"/>
        </w:rPr>
        <w:t> </w:t>
      </w:r>
      <w:r>
        <w:rPr/>
        <w:t>као</w:t>
      </w:r>
      <w:r>
        <w:rPr>
          <w:spacing w:val="30"/>
        </w:rPr>
        <w:t> </w:t>
      </w:r>
      <w:r>
        <w:rPr/>
        <w:t>и</w:t>
      </w:r>
      <w:r>
        <w:rPr>
          <w:spacing w:val="28"/>
        </w:rPr>
        <w:t> </w:t>
      </w:r>
      <w:r>
        <w:rPr/>
        <w:t>локалне</w:t>
      </w:r>
      <w:r>
        <w:rPr>
          <w:spacing w:val="30"/>
        </w:rPr>
        <w:t> </w:t>
      </w:r>
      <w:r>
        <w:rPr>
          <w:spacing w:val="-2"/>
        </w:rPr>
        <w:t>самоуправе,</w:t>
      </w:r>
    </w:p>
    <w:p>
      <w:pPr>
        <w:pStyle w:val="BodyText"/>
        <w:spacing w:after="0"/>
        <w:sectPr>
          <w:pgSz w:w="12240" w:h="15840"/>
          <w:pgMar w:header="0" w:footer="702" w:top="1360" w:bottom="900" w:left="1080" w:right="720"/>
        </w:sectPr>
      </w:pPr>
    </w:p>
    <w:p>
      <w:pPr>
        <w:pStyle w:val="BodyText"/>
        <w:spacing w:before="72"/>
        <w:jc w:val="left"/>
      </w:pPr>
      <w:r>
        <w:rPr/>
        <w:t>којој</w:t>
      </w:r>
      <w:r>
        <w:rPr>
          <w:spacing w:val="40"/>
        </w:rPr>
        <w:t> </w:t>
      </w:r>
      <w:r>
        <w:rPr/>
        <w:t>решавање</w:t>
      </w:r>
      <w:r>
        <w:rPr>
          <w:spacing w:val="40"/>
        </w:rPr>
        <w:t> </w:t>
      </w:r>
      <w:r>
        <w:rPr/>
        <w:t>проблема</w:t>
      </w:r>
      <w:r>
        <w:rPr>
          <w:spacing w:val="40"/>
        </w:rPr>
        <w:t> </w:t>
      </w:r>
      <w:r>
        <w:rPr/>
        <w:t>њених</w:t>
      </w:r>
      <w:r>
        <w:rPr>
          <w:spacing w:val="40"/>
        </w:rPr>
        <w:t> </w:t>
      </w:r>
      <w:r>
        <w:rPr/>
        <w:t>грађана</w:t>
      </w:r>
      <w:r>
        <w:rPr>
          <w:spacing w:val="40"/>
        </w:rPr>
        <w:t> </w:t>
      </w:r>
      <w:r>
        <w:rPr/>
        <w:t>који</w:t>
      </w:r>
      <w:r>
        <w:rPr>
          <w:spacing w:val="40"/>
        </w:rPr>
        <w:t> </w:t>
      </w:r>
      <w:r>
        <w:rPr/>
        <w:t>су</w:t>
      </w:r>
      <w:r>
        <w:rPr>
          <w:spacing w:val="40"/>
        </w:rPr>
        <w:t> </w:t>
      </w:r>
      <w:r>
        <w:rPr/>
        <w:t>у</w:t>
      </w:r>
      <w:r>
        <w:rPr>
          <w:spacing w:val="40"/>
        </w:rPr>
        <w:t> </w:t>
      </w:r>
      <w:r>
        <w:rPr/>
        <w:t>ситуацији</w:t>
      </w:r>
      <w:r>
        <w:rPr>
          <w:spacing w:val="40"/>
        </w:rPr>
        <w:t> </w:t>
      </w:r>
      <w:r>
        <w:rPr/>
        <w:t>социјалне</w:t>
      </w:r>
      <w:r>
        <w:rPr>
          <w:spacing w:val="40"/>
        </w:rPr>
        <w:t> </w:t>
      </w:r>
      <w:r>
        <w:rPr/>
        <w:t>искључености представља приоритет.</w:t>
      </w:r>
    </w:p>
    <w:p>
      <w:pPr>
        <w:pStyle w:val="BodyText"/>
        <w:spacing w:before="4"/>
        <w:ind w:left="0"/>
        <w:jc w:val="left"/>
        <w:rPr>
          <w:sz w:val="11"/>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71"/>
      </w:tblGrid>
      <w:tr>
        <w:trPr>
          <w:trHeight w:val="541" w:hRule="atLeast"/>
        </w:trPr>
        <w:tc>
          <w:tcPr>
            <w:tcW w:w="1956" w:type="dxa"/>
          </w:tcPr>
          <w:p>
            <w:pPr>
              <w:pStyle w:val="TableParagraph"/>
              <w:spacing w:before="126"/>
              <w:ind w:left="50"/>
              <w:rPr>
                <w:i/>
                <w:sz w:val="24"/>
              </w:rPr>
            </w:pPr>
            <w:r>
              <w:rPr>
                <w:i/>
                <w:sz w:val="24"/>
              </w:rPr>
              <w:t>Врста/тип</w:t>
            </w:r>
            <w:r>
              <w:rPr>
                <w:i/>
                <w:spacing w:val="-2"/>
                <w:sz w:val="24"/>
              </w:rPr>
              <w:t> </w:t>
            </w:r>
            <w:r>
              <w:rPr>
                <w:i/>
                <w:spacing w:val="-4"/>
                <w:sz w:val="24"/>
              </w:rPr>
              <w:t>мере</w:t>
            </w:r>
          </w:p>
        </w:tc>
        <w:tc>
          <w:tcPr>
            <w:tcW w:w="7271" w:type="dxa"/>
          </w:tcPr>
          <w:p>
            <w:pPr>
              <w:pStyle w:val="TableParagraph"/>
              <w:tabs>
                <w:tab w:pos="2074" w:val="left" w:leader="none"/>
                <w:tab w:pos="3794" w:val="left" w:leader="none"/>
                <w:tab w:pos="6002" w:val="left" w:leader="none"/>
              </w:tabs>
              <w:spacing w:line="266" w:lineRule="exact"/>
              <w:ind w:left="215"/>
              <w:rPr>
                <w:sz w:val="24"/>
              </w:rPr>
            </w:pPr>
            <w:r>
              <w:rPr>
                <w:spacing w:val="-2"/>
                <w:sz w:val="24"/>
              </w:rPr>
              <w:t>Комбинована:</w:t>
            </w:r>
            <w:r>
              <w:rPr>
                <w:sz w:val="24"/>
              </w:rPr>
              <w:tab/>
            </w:r>
            <w:r>
              <w:rPr>
                <w:spacing w:val="-2"/>
                <w:sz w:val="24"/>
              </w:rPr>
              <w:t>регулаторна;</w:t>
            </w:r>
            <w:r>
              <w:rPr>
                <w:sz w:val="24"/>
              </w:rPr>
              <w:tab/>
            </w:r>
            <w:r>
              <w:rPr>
                <w:spacing w:val="-2"/>
                <w:sz w:val="24"/>
              </w:rPr>
              <w:t>институционално</w:t>
            </w:r>
            <w:r>
              <w:rPr>
                <w:sz w:val="24"/>
              </w:rPr>
              <w:tab/>
            </w:r>
            <w:r>
              <w:rPr>
                <w:spacing w:val="-2"/>
                <w:sz w:val="24"/>
              </w:rPr>
              <w:t>управљачко</w:t>
            </w:r>
          </w:p>
          <w:p>
            <w:pPr>
              <w:pStyle w:val="TableParagraph"/>
              <w:spacing w:line="256" w:lineRule="exact"/>
              <w:ind w:left="215"/>
              <w:rPr>
                <w:sz w:val="24"/>
              </w:rPr>
            </w:pPr>
            <w:r>
              <w:rPr>
                <w:sz w:val="24"/>
              </w:rPr>
              <w:t>организациона;</w:t>
            </w:r>
            <w:r>
              <w:rPr>
                <w:spacing w:val="-4"/>
                <w:sz w:val="24"/>
              </w:rPr>
              <w:t> </w:t>
            </w:r>
            <w:r>
              <w:rPr>
                <w:spacing w:val="-2"/>
                <w:sz w:val="24"/>
              </w:rPr>
              <w:t>подстицајна</w:t>
            </w:r>
          </w:p>
        </w:tc>
      </w:tr>
    </w:tbl>
    <w:p>
      <w:pPr>
        <w:pStyle w:val="BodyText"/>
        <w:ind w:left="0"/>
        <w:jc w:val="left"/>
      </w:pPr>
    </w:p>
    <w:p>
      <w:pPr>
        <w:pStyle w:val="BodyText"/>
        <w:spacing w:before="34"/>
        <w:ind w:left="0"/>
        <w:jc w:val="left"/>
      </w:pPr>
    </w:p>
    <w:p>
      <w:pPr>
        <w:pStyle w:val="Heading2"/>
      </w:pPr>
      <w:r>
        <w:rPr/>
        <w:t>Мера</w:t>
      </w:r>
      <w:r>
        <w:rPr>
          <w:spacing w:val="-2"/>
        </w:rPr>
        <w:t> </w:t>
      </w:r>
      <w:r>
        <w:rPr/>
        <w:t>1.5.</w:t>
      </w:r>
      <w:r>
        <w:rPr>
          <w:spacing w:val="-1"/>
        </w:rPr>
        <w:t> </w:t>
      </w:r>
      <w:r>
        <w:rPr/>
        <w:t>Јачање</w:t>
      </w:r>
      <w:r>
        <w:rPr>
          <w:spacing w:val="-2"/>
        </w:rPr>
        <w:t> </w:t>
      </w:r>
      <w:r>
        <w:rPr/>
        <w:t>локалне</w:t>
      </w:r>
      <w:r>
        <w:rPr>
          <w:spacing w:val="-1"/>
        </w:rPr>
        <w:t> </w:t>
      </w:r>
      <w:r>
        <w:rPr/>
        <w:t>политике</w:t>
      </w:r>
      <w:r>
        <w:rPr>
          <w:spacing w:val="-2"/>
        </w:rPr>
        <w:t> запошљавања</w:t>
      </w:r>
    </w:p>
    <w:p>
      <w:pPr>
        <w:pStyle w:val="BodyText"/>
        <w:spacing w:before="36"/>
        <w:ind w:left="0"/>
        <w:jc w:val="left"/>
        <w:rPr>
          <w:b/>
        </w:rPr>
      </w:pPr>
    </w:p>
    <w:p>
      <w:pPr>
        <w:pStyle w:val="BodyText"/>
        <w:ind w:right="721" w:firstLine="719"/>
      </w:pPr>
      <w:r>
        <w:rPr/>
        <w:t>Политика</w:t>
      </w:r>
      <w:r>
        <w:rPr>
          <w:spacing w:val="-15"/>
        </w:rPr>
        <w:t> </w:t>
      </w:r>
      <w:r>
        <w:rPr/>
        <w:t>запошљавања</w:t>
      </w:r>
      <w:r>
        <w:rPr>
          <w:spacing w:val="-15"/>
        </w:rPr>
        <w:t> </w:t>
      </w:r>
      <w:r>
        <w:rPr/>
        <w:t>треба</w:t>
      </w:r>
      <w:r>
        <w:rPr>
          <w:spacing w:val="-15"/>
        </w:rPr>
        <w:t> </w:t>
      </w:r>
      <w:r>
        <w:rPr/>
        <w:t>да</w:t>
      </w:r>
      <w:r>
        <w:rPr>
          <w:spacing w:val="-15"/>
        </w:rPr>
        <w:t> </w:t>
      </w:r>
      <w:r>
        <w:rPr/>
        <w:t>допринесе</w:t>
      </w:r>
      <w:r>
        <w:rPr>
          <w:spacing w:val="-15"/>
        </w:rPr>
        <w:t> </w:t>
      </w:r>
      <w:r>
        <w:rPr/>
        <w:t>остваривању</w:t>
      </w:r>
      <w:r>
        <w:rPr>
          <w:spacing w:val="-15"/>
        </w:rPr>
        <w:t> </w:t>
      </w:r>
      <w:r>
        <w:rPr/>
        <w:t>циљева</w:t>
      </w:r>
      <w:r>
        <w:rPr>
          <w:spacing w:val="-15"/>
        </w:rPr>
        <w:t> </w:t>
      </w:r>
      <w:r>
        <w:rPr/>
        <w:t>економског</w:t>
      </w:r>
      <w:r>
        <w:rPr>
          <w:spacing w:val="-15"/>
        </w:rPr>
        <w:t> </w:t>
      </w:r>
      <w:r>
        <w:rPr/>
        <w:t>развоја спровођењем</w:t>
      </w:r>
      <w:r>
        <w:rPr>
          <w:spacing w:val="-11"/>
        </w:rPr>
        <w:t> </w:t>
      </w:r>
      <w:r>
        <w:rPr/>
        <w:t>мера</w:t>
      </w:r>
      <w:r>
        <w:rPr>
          <w:spacing w:val="-12"/>
        </w:rPr>
        <w:t> </w:t>
      </w:r>
      <w:r>
        <w:rPr/>
        <w:t>које</w:t>
      </w:r>
      <w:r>
        <w:rPr>
          <w:spacing w:val="-9"/>
        </w:rPr>
        <w:t> </w:t>
      </w:r>
      <w:r>
        <w:rPr/>
        <w:t>представљају</w:t>
      </w:r>
      <w:r>
        <w:rPr>
          <w:spacing w:val="-15"/>
        </w:rPr>
        <w:t> </w:t>
      </w:r>
      <w:r>
        <w:rPr/>
        <w:t>квалитетан</w:t>
      </w:r>
      <w:r>
        <w:rPr>
          <w:spacing w:val="-10"/>
        </w:rPr>
        <w:t> </w:t>
      </w:r>
      <w:r>
        <w:rPr/>
        <w:t>одговор</w:t>
      </w:r>
      <w:r>
        <w:rPr>
          <w:spacing w:val="-11"/>
        </w:rPr>
        <w:t> </w:t>
      </w:r>
      <w:r>
        <w:rPr/>
        <w:t>актера</w:t>
      </w:r>
      <w:r>
        <w:rPr>
          <w:spacing w:val="-12"/>
        </w:rPr>
        <w:t> </w:t>
      </w:r>
      <w:r>
        <w:rPr/>
        <w:t>локалног</w:t>
      </w:r>
      <w:r>
        <w:rPr>
          <w:spacing w:val="-11"/>
        </w:rPr>
        <w:t> </w:t>
      </w:r>
      <w:r>
        <w:rPr/>
        <w:t>нивоа</w:t>
      </w:r>
      <w:r>
        <w:rPr>
          <w:spacing w:val="-12"/>
        </w:rPr>
        <w:t> </w:t>
      </w:r>
      <w:r>
        <w:rPr/>
        <w:t>на</w:t>
      </w:r>
      <w:r>
        <w:rPr>
          <w:spacing w:val="-12"/>
        </w:rPr>
        <w:t> </w:t>
      </w:r>
      <w:r>
        <w:rPr/>
        <w:t>изазове, потребе и могућности локалних тржишта рада.</w:t>
      </w:r>
    </w:p>
    <w:p>
      <w:pPr>
        <w:pStyle w:val="BodyText"/>
        <w:spacing w:before="121"/>
        <w:ind w:right="719" w:firstLine="719"/>
      </w:pPr>
      <w:r>
        <w:rPr/>
        <w:t>Од када је Законом о запошљавању и осигурању за случај незапослености створен основ за децентрализацију политике запошљавања, све већи број ЈЛС показује интересовање за ову област и спремност да се активно укључи у унапређење ситуације на локалним</w:t>
      </w:r>
      <w:r>
        <w:rPr>
          <w:spacing w:val="-8"/>
        </w:rPr>
        <w:t> </w:t>
      </w:r>
      <w:r>
        <w:rPr/>
        <w:t>тржиштима</w:t>
      </w:r>
      <w:r>
        <w:rPr>
          <w:spacing w:val="-8"/>
        </w:rPr>
        <w:t> </w:t>
      </w:r>
      <w:r>
        <w:rPr/>
        <w:t>рада.</w:t>
      </w:r>
      <w:r>
        <w:rPr>
          <w:spacing w:val="-7"/>
        </w:rPr>
        <w:t> </w:t>
      </w:r>
      <w:r>
        <w:rPr/>
        <w:t>Локални</w:t>
      </w:r>
      <w:r>
        <w:rPr>
          <w:spacing w:val="-6"/>
        </w:rPr>
        <w:t> </w:t>
      </w:r>
      <w:r>
        <w:rPr/>
        <w:t>савети</w:t>
      </w:r>
      <w:r>
        <w:rPr>
          <w:spacing w:val="-5"/>
        </w:rPr>
        <w:t> </w:t>
      </w:r>
      <w:r>
        <w:rPr/>
        <w:t>за</w:t>
      </w:r>
      <w:r>
        <w:rPr>
          <w:spacing w:val="-8"/>
        </w:rPr>
        <w:t> </w:t>
      </w:r>
      <w:r>
        <w:rPr/>
        <w:t>запошљавање</w:t>
      </w:r>
      <w:r>
        <w:rPr>
          <w:spacing w:val="-8"/>
        </w:rPr>
        <w:t> </w:t>
      </w:r>
      <w:r>
        <w:rPr/>
        <w:t>постепено</w:t>
      </w:r>
      <w:r>
        <w:rPr>
          <w:spacing w:val="-7"/>
        </w:rPr>
        <w:t> </w:t>
      </w:r>
      <w:r>
        <w:rPr/>
        <w:t>преузимају</w:t>
      </w:r>
      <w:r>
        <w:rPr>
          <w:spacing w:val="-11"/>
        </w:rPr>
        <w:t> </w:t>
      </w:r>
      <w:r>
        <w:rPr/>
        <w:t>кључну улогу</w:t>
      </w:r>
      <w:r>
        <w:rPr>
          <w:spacing w:val="-15"/>
        </w:rPr>
        <w:t> </w:t>
      </w:r>
      <w:r>
        <w:rPr/>
        <w:t>у</w:t>
      </w:r>
      <w:r>
        <w:rPr>
          <w:spacing w:val="-15"/>
        </w:rPr>
        <w:t> </w:t>
      </w:r>
      <w:r>
        <w:rPr/>
        <w:t>процесима</w:t>
      </w:r>
      <w:r>
        <w:rPr>
          <w:spacing w:val="-13"/>
        </w:rPr>
        <w:t> </w:t>
      </w:r>
      <w:r>
        <w:rPr/>
        <w:t>дефинисања</w:t>
      </w:r>
      <w:r>
        <w:rPr>
          <w:spacing w:val="-14"/>
        </w:rPr>
        <w:t> </w:t>
      </w:r>
      <w:r>
        <w:rPr/>
        <w:t>мера</w:t>
      </w:r>
      <w:r>
        <w:rPr>
          <w:spacing w:val="-14"/>
        </w:rPr>
        <w:t> </w:t>
      </w:r>
      <w:r>
        <w:rPr/>
        <w:t>од</w:t>
      </w:r>
      <w:r>
        <w:rPr>
          <w:spacing w:val="-13"/>
        </w:rPr>
        <w:t> </w:t>
      </w:r>
      <w:r>
        <w:rPr/>
        <w:t>значаја</w:t>
      </w:r>
      <w:r>
        <w:rPr>
          <w:spacing w:val="-14"/>
        </w:rPr>
        <w:t> </w:t>
      </w:r>
      <w:r>
        <w:rPr/>
        <w:t>за</w:t>
      </w:r>
      <w:r>
        <w:rPr>
          <w:spacing w:val="-12"/>
        </w:rPr>
        <w:t> </w:t>
      </w:r>
      <w:r>
        <w:rPr/>
        <w:t>унапређење</w:t>
      </w:r>
      <w:r>
        <w:rPr>
          <w:spacing w:val="-12"/>
        </w:rPr>
        <w:t> </w:t>
      </w:r>
      <w:r>
        <w:rPr/>
        <w:t>стања</w:t>
      </w:r>
      <w:r>
        <w:rPr>
          <w:spacing w:val="-14"/>
        </w:rPr>
        <w:t> </w:t>
      </w:r>
      <w:r>
        <w:rPr/>
        <w:t>и</w:t>
      </w:r>
      <w:r>
        <w:rPr>
          <w:spacing w:val="-10"/>
        </w:rPr>
        <w:t> </w:t>
      </w:r>
      <w:r>
        <w:rPr/>
        <w:t>кретања</w:t>
      </w:r>
      <w:r>
        <w:rPr>
          <w:spacing w:val="-14"/>
        </w:rPr>
        <w:t> </w:t>
      </w:r>
      <w:r>
        <w:rPr/>
        <w:t>на</w:t>
      </w:r>
      <w:r>
        <w:rPr>
          <w:spacing w:val="-14"/>
        </w:rPr>
        <w:t> </w:t>
      </w:r>
      <w:r>
        <w:rPr/>
        <w:t>локалном </w:t>
      </w:r>
      <w:r>
        <w:rPr>
          <w:spacing w:val="-2"/>
        </w:rPr>
        <w:t>тржишту</w:t>
      </w:r>
      <w:r>
        <w:rPr>
          <w:spacing w:val="-14"/>
        </w:rPr>
        <w:t> </w:t>
      </w:r>
      <w:r>
        <w:rPr>
          <w:spacing w:val="-2"/>
        </w:rPr>
        <w:t>рада,</w:t>
      </w:r>
      <w:r>
        <w:rPr>
          <w:spacing w:val="-5"/>
        </w:rPr>
        <w:t> </w:t>
      </w:r>
      <w:r>
        <w:rPr>
          <w:spacing w:val="-2"/>
        </w:rPr>
        <w:t>које</w:t>
      </w:r>
      <w:r>
        <w:rPr>
          <w:spacing w:val="-5"/>
        </w:rPr>
        <w:t> </w:t>
      </w:r>
      <w:r>
        <w:rPr>
          <w:spacing w:val="-2"/>
        </w:rPr>
        <w:t>је</w:t>
      </w:r>
      <w:r>
        <w:rPr>
          <w:spacing w:val="-5"/>
        </w:rPr>
        <w:t> </w:t>
      </w:r>
      <w:r>
        <w:rPr>
          <w:spacing w:val="-2"/>
        </w:rPr>
        <w:t>праћено</w:t>
      </w:r>
      <w:r>
        <w:rPr>
          <w:spacing w:val="-6"/>
        </w:rPr>
        <w:t> </w:t>
      </w:r>
      <w:r>
        <w:rPr>
          <w:spacing w:val="-2"/>
        </w:rPr>
        <w:t>повећањем</w:t>
      </w:r>
      <w:r>
        <w:rPr>
          <w:spacing w:val="-6"/>
        </w:rPr>
        <w:t> </w:t>
      </w:r>
      <w:r>
        <w:rPr>
          <w:spacing w:val="-2"/>
        </w:rPr>
        <w:t>издвајања</w:t>
      </w:r>
      <w:r>
        <w:rPr>
          <w:spacing w:val="-6"/>
        </w:rPr>
        <w:t> </w:t>
      </w:r>
      <w:r>
        <w:rPr>
          <w:spacing w:val="-2"/>
        </w:rPr>
        <w:t>из</w:t>
      </w:r>
      <w:r>
        <w:rPr>
          <w:spacing w:val="-4"/>
        </w:rPr>
        <w:t> </w:t>
      </w:r>
      <w:r>
        <w:rPr>
          <w:spacing w:val="-2"/>
        </w:rPr>
        <w:t>буџета</w:t>
      </w:r>
      <w:r>
        <w:rPr>
          <w:spacing w:val="-5"/>
        </w:rPr>
        <w:t> </w:t>
      </w:r>
      <w:r>
        <w:rPr>
          <w:spacing w:val="-2"/>
        </w:rPr>
        <w:t>ЈЛС</w:t>
      </w:r>
      <w:r>
        <w:rPr>
          <w:spacing w:val="-4"/>
        </w:rPr>
        <w:t> </w:t>
      </w:r>
      <w:r>
        <w:rPr>
          <w:spacing w:val="-2"/>
        </w:rPr>
        <w:t>за</w:t>
      </w:r>
      <w:r>
        <w:rPr>
          <w:spacing w:val="-7"/>
        </w:rPr>
        <w:t> </w:t>
      </w:r>
      <w:r>
        <w:rPr>
          <w:spacing w:val="-2"/>
        </w:rPr>
        <w:t>реализацију</w:t>
      </w:r>
      <w:r>
        <w:rPr>
          <w:spacing w:val="-13"/>
        </w:rPr>
        <w:t> </w:t>
      </w:r>
      <w:r>
        <w:rPr>
          <w:spacing w:val="-2"/>
        </w:rPr>
        <w:t>мера</w:t>
      </w:r>
      <w:r>
        <w:rPr>
          <w:spacing w:val="-6"/>
        </w:rPr>
        <w:t> </w:t>
      </w:r>
      <w:r>
        <w:rPr>
          <w:spacing w:val="-4"/>
        </w:rPr>
        <w:t>АПЗ.</w:t>
      </w:r>
    </w:p>
    <w:p>
      <w:pPr>
        <w:pStyle w:val="BodyText"/>
        <w:spacing w:before="120"/>
        <w:ind w:right="722" w:firstLine="719"/>
      </w:pPr>
      <w:r>
        <w:rPr/>
        <w:t>Децентрализација политике запошљавања остаје један од приоритета у наредном периоду с обзиром на вишеструки значај који овај сегмент политике запошљавања има. Наставиће се са промовисањем концепта децентрализације и подржавати процес израде и реализације ЛАПЗ (укључујући и улагање додатних напора да се у процес планирања укључе и оне ЈЛС које до сада нису показивале интересовање и мотивисаност). Такође, спроводиће се активности на отклањању недостатака препознатих у ЛАПЗ, како би мере АПЗ у већој мери кореспондирале препознатим изазовима на локалном тржишту рада и одговориле на потребе</w:t>
      </w:r>
      <w:r>
        <w:rPr>
          <w:spacing w:val="-1"/>
        </w:rPr>
        <w:t> </w:t>
      </w:r>
      <w:r>
        <w:rPr/>
        <w:t>категорија теже запошљивих лица</w:t>
      </w:r>
      <w:r>
        <w:rPr>
          <w:spacing w:val="-1"/>
        </w:rPr>
        <w:t> </w:t>
      </w:r>
      <w:r>
        <w:rPr/>
        <w:t>на евиденцији НСЗ. Овај процес пратиће</w:t>
      </w:r>
      <w:r>
        <w:rPr>
          <w:spacing w:val="-15"/>
        </w:rPr>
        <w:t> </w:t>
      </w:r>
      <w:r>
        <w:rPr/>
        <w:t>модалитети</w:t>
      </w:r>
      <w:r>
        <w:rPr>
          <w:spacing w:val="-15"/>
        </w:rPr>
        <w:t> </w:t>
      </w:r>
      <w:r>
        <w:rPr/>
        <w:t>јачања</w:t>
      </w:r>
      <w:r>
        <w:rPr>
          <w:spacing w:val="-15"/>
        </w:rPr>
        <w:t> </w:t>
      </w:r>
      <w:r>
        <w:rPr/>
        <w:t>капацитета</w:t>
      </w:r>
      <w:r>
        <w:rPr>
          <w:spacing w:val="-15"/>
        </w:rPr>
        <w:t> </w:t>
      </w:r>
      <w:r>
        <w:rPr/>
        <w:t>чланова</w:t>
      </w:r>
      <w:r>
        <w:rPr>
          <w:spacing w:val="-15"/>
        </w:rPr>
        <w:t> </w:t>
      </w:r>
      <w:r>
        <w:rPr/>
        <w:t>ЈЛС</w:t>
      </w:r>
      <w:r>
        <w:rPr>
          <w:spacing w:val="-15"/>
        </w:rPr>
        <w:t> </w:t>
      </w:r>
      <w:r>
        <w:rPr/>
        <w:t>и</w:t>
      </w:r>
      <w:r>
        <w:rPr>
          <w:spacing w:val="-15"/>
        </w:rPr>
        <w:t> </w:t>
      </w:r>
      <w:r>
        <w:rPr/>
        <w:t>локалних</w:t>
      </w:r>
      <w:r>
        <w:rPr>
          <w:spacing w:val="-15"/>
        </w:rPr>
        <w:t> </w:t>
      </w:r>
      <w:r>
        <w:rPr/>
        <w:t>савета</w:t>
      </w:r>
      <w:r>
        <w:rPr>
          <w:spacing w:val="-15"/>
        </w:rPr>
        <w:t> </w:t>
      </w:r>
      <w:r>
        <w:rPr/>
        <w:t>за</w:t>
      </w:r>
      <w:r>
        <w:rPr>
          <w:spacing w:val="-15"/>
        </w:rPr>
        <w:t> </w:t>
      </w:r>
      <w:r>
        <w:rPr/>
        <w:t>запошљавање,</w:t>
      </w:r>
      <w:r>
        <w:rPr>
          <w:spacing w:val="-15"/>
        </w:rPr>
        <w:t> </w:t>
      </w:r>
      <w:r>
        <w:rPr/>
        <w:t>али </w:t>
      </w:r>
      <w:r>
        <w:rPr>
          <w:spacing w:val="-2"/>
        </w:rPr>
        <w:t>и</w:t>
      </w:r>
      <w:r>
        <w:rPr>
          <w:spacing w:val="-5"/>
        </w:rPr>
        <w:t> </w:t>
      </w:r>
      <w:r>
        <w:rPr>
          <w:spacing w:val="-2"/>
        </w:rPr>
        <w:t>форме</w:t>
      </w:r>
      <w:r>
        <w:rPr>
          <w:spacing w:val="-8"/>
        </w:rPr>
        <w:t> </w:t>
      </w:r>
      <w:r>
        <w:rPr>
          <w:spacing w:val="-2"/>
        </w:rPr>
        <w:t>размене</w:t>
      </w:r>
      <w:r>
        <w:rPr>
          <w:spacing w:val="-8"/>
        </w:rPr>
        <w:t> </w:t>
      </w:r>
      <w:r>
        <w:rPr>
          <w:spacing w:val="-2"/>
        </w:rPr>
        <w:t>искустава,</w:t>
      </w:r>
      <w:r>
        <w:rPr>
          <w:spacing w:val="-7"/>
        </w:rPr>
        <w:t> </w:t>
      </w:r>
      <w:r>
        <w:rPr>
          <w:spacing w:val="-2"/>
        </w:rPr>
        <w:t>примера</w:t>
      </w:r>
      <w:r>
        <w:rPr>
          <w:spacing w:val="-8"/>
        </w:rPr>
        <w:t> </w:t>
      </w:r>
      <w:r>
        <w:rPr>
          <w:spacing w:val="-2"/>
        </w:rPr>
        <w:t>добре</w:t>
      </w:r>
      <w:r>
        <w:rPr>
          <w:spacing w:val="-7"/>
        </w:rPr>
        <w:t> </w:t>
      </w:r>
      <w:r>
        <w:rPr>
          <w:spacing w:val="-2"/>
        </w:rPr>
        <w:t>праксе</w:t>
      </w:r>
      <w:r>
        <w:rPr>
          <w:spacing w:val="-8"/>
        </w:rPr>
        <w:t> </w:t>
      </w:r>
      <w:r>
        <w:rPr>
          <w:spacing w:val="-2"/>
        </w:rPr>
        <w:t>и</w:t>
      </w:r>
      <w:r>
        <w:rPr>
          <w:spacing w:val="-5"/>
        </w:rPr>
        <w:t> </w:t>
      </w:r>
      <w:r>
        <w:rPr>
          <w:spacing w:val="-2"/>
        </w:rPr>
        <w:t>научених</w:t>
      </w:r>
      <w:r>
        <w:rPr>
          <w:spacing w:val="-4"/>
        </w:rPr>
        <w:t> </w:t>
      </w:r>
      <w:r>
        <w:rPr>
          <w:spacing w:val="-2"/>
        </w:rPr>
        <w:t>лекција,</w:t>
      </w:r>
      <w:r>
        <w:rPr>
          <w:spacing w:val="-7"/>
        </w:rPr>
        <w:t> </w:t>
      </w:r>
      <w:r>
        <w:rPr>
          <w:spacing w:val="-2"/>
        </w:rPr>
        <w:t>имајући у</w:t>
      </w:r>
      <w:r>
        <w:rPr>
          <w:spacing w:val="-13"/>
        </w:rPr>
        <w:t> </w:t>
      </w:r>
      <w:r>
        <w:rPr>
          <w:spacing w:val="-2"/>
        </w:rPr>
        <w:t>виду</w:t>
      </w:r>
      <w:r>
        <w:rPr>
          <w:spacing w:val="-13"/>
        </w:rPr>
        <w:t> </w:t>
      </w:r>
      <w:r>
        <w:rPr>
          <w:spacing w:val="-2"/>
        </w:rPr>
        <w:t>значај </w:t>
      </w:r>
      <w:r>
        <w:rPr/>
        <w:t>истих за унапређење области локалне политике запошљавања.</w:t>
      </w:r>
    </w:p>
    <w:p>
      <w:pPr>
        <w:pStyle w:val="BodyText"/>
        <w:spacing w:before="121"/>
        <w:ind w:right="718" w:firstLine="719"/>
      </w:pPr>
      <w:r>
        <w:rPr/>
        <w:t>Усмеравање мера АПЗ и приоритетно суфинансирање ЛАПЗ из оних ЈЛС која припадају</w:t>
      </w:r>
      <w:r>
        <w:rPr>
          <w:spacing w:val="-3"/>
        </w:rPr>
        <w:t> </w:t>
      </w:r>
      <w:r>
        <w:rPr/>
        <w:t>неразвијеним подручјима, неопходно је додатно преиспитати имајући у виду да последња</w:t>
      </w:r>
      <w:r>
        <w:rPr>
          <w:spacing w:val="-15"/>
        </w:rPr>
        <w:t> </w:t>
      </w:r>
      <w:r>
        <w:rPr/>
        <w:t>Уредба</w:t>
      </w:r>
      <w:r>
        <w:rPr>
          <w:spacing w:val="-15"/>
        </w:rPr>
        <w:t> </w:t>
      </w:r>
      <w:r>
        <w:rPr/>
        <w:t>о</w:t>
      </w:r>
      <w:r>
        <w:rPr>
          <w:spacing w:val="-15"/>
        </w:rPr>
        <w:t> </w:t>
      </w:r>
      <w:r>
        <w:rPr/>
        <w:t>утврђивању</w:t>
      </w:r>
      <w:r>
        <w:rPr>
          <w:spacing w:val="-15"/>
        </w:rPr>
        <w:t> </w:t>
      </w:r>
      <w:r>
        <w:rPr/>
        <w:t>Јединствене</w:t>
      </w:r>
      <w:r>
        <w:rPr>
          <w:spacing w:val="-15"/>
        </w:rPr>
        <w:t> </w:t>
      </w:r>
      <w:r>
        <w:rPr/>
        <w:t>листе</w:t>
      </w:r>
      <w:r>
        <w:rPr>
          <w:spacing w:val="-15"/>
        </w:rPr>
        <w:t> </w:t>
      </w:r>
      <w:r>
        <w:rPr/>
        <w:t>развијености</w:t>
      </w:r>
      <w:r>
        <w:rPr>
          <w:spacing w:val="-15"/>
        </w:rPr>
        <w:t> </w:t>
      </w:r>
      <w:r>
        <w:rPr/>
        <w:t>региона</w:t>
      </w:r>
      <w:r>
        <w:rPr>
          <w:spacing w:val="-15"/>
        </w:rPr>
        <w:t> </w:t>
      </w:r>
      <w:r>
        <w:rPr/>
        <w:t>и</w:t>
      </w:r>
      <w:r>
        <w:rPr>
          <w:spacing w:val="-15"/>
        </w:rPr>
        <w:t> </w:t>
      </w:r>
      <w:r>
        <w:rPr/>
        <w:t>јединица</w:t>
      </w:r>
      <w:r>
        <w:rPr>
          <w:spacing w:val="-15"/>
        </w:rPr>
        <w:t> </w:t>
      </w:r>
      <w:r>
        <w:rPr/>
        <w:t>локалне самоуправе датира из 2014. године. Због тога је потребно да се узму у обзир последњи расположиви подаци за израчунавање индекса развијености ЈЛС како би се у складу са Методологијом</w:t>
      </w:r>
      <w:r>
        <w:rPr>
          <w:spacing w:val="-2"/>
        </w:rPr>
        <w:t> </w:t>
      </w:r>
      <w:r>
        <w:rPr/>
        <w:t>за израчунавање степена развијености региона и</w:t>
      </w:r>
      <w:r>
        <w:rPr>
          <w:spacing w:val="-3"/>
        </w:rPr>
        <w:t> </w:t>
      </w:r>
      <w:r>
        <w:rPr/>
        <w:t>ЈЛС,</w:t>
      </w:r>
      <w:r>
        <w:rPr>
          <w:spacing w:val="-4"/>
        </w:rPr>
        <w:t> </w:t>
      </w:r>
      <w:r>
        <w:rPr/>
        <w:t>донела нова Уредба. На овај начин подршка у суфинасирању ЛАПЗ биће усмерена ка неразвијеним ЈЛС и девастираним подручјима.</w:t>
      </w:r>
    </w:p>
    <w:p>
      <w:pPr>
        <w:pStyle w:val="BodyText"/>
        <w:spacing w:before="120"/>
        <w:ind w:right="717" w:firstLine="719"/>
      </w:pPr>
      <w:r>
        <w:rPr/>
        <w:t>Како би се</w:t>
      </w:r>
      <w:r>
        <w:rPr>
          <w:spacing w:val="-1"/>
        </w:rPr>
        <w:t> </w:t>
      </w:r>
      <w:r>
        <w:rPr/>
        <w:t>подстицао развој иновативних решења</w:t>
      </w:r>
      <w:r>
        <w:rPr>
          <w:spacing w:val="-1"/>
        </w:rPr>
        <w:t> </w:t>
      </w:r>
      <w:r>
        <w:rPr/>
        <w:t>на нивоу</w:t>
      </w:r>
      <w:r>
        <w:rPr>
          <w:spacing w:val="-5"/>
        </w:rPr>
        <w:t> </w:t>
      </w:r>
      <w:r>
        <w:rPr/>
        <w:t>локалних тржишта</w:t>
      </w:r>
      <w:r>
        <w:rPr>
          <w:spacing w:val="-1"/>
        </w:rPr>
        <w:t> </w:t>
      </w:r>
      <w:r>
        <w:rPr/>
        <w:t>рада и даља диференцијација у односу на национални ниво, која би на најбољи начин могла да одговори на идентификоване изазове и специфичности локалних тржишта рада, важно је препознати и додатно стимулисати оваква решења. У том правцу потребно је увести нову програмску активност и обезбедити средства за подршку иновативним решењима.</w:t>
      </w:r>
    </w:p>
    <w:p>
      <w:pPr>
        <w:pStyle w:val="BodyText"/>
        <w:spacing w:before="177"/>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48"/>
      </w:tblGrid>
      <w:tr>
        <w:trPr>
          <w:trHeight w:val="265" w:hRule="atLeast"/>
        </w:trPr>
        <w:tc>
          <w:tcPr>
            <w:tcW w:w="1956" w:type="dxa"/>
          </w:tcPr>
          <w:p>
            <w:pPr>
              <w:pStyle w:val="TableParagraph"/>
              <w:spacing w:line="246" w:lineRule="exact"/>
              <w:ind w:left="50"/>
              <w:rPr>
                <w:i/>
                <w:sz w:val="24"/>
              </w:rPr>
            </w:pPr>
            <w:r>
              <w:rPr>
                <w:i/>
                <w:sz w:val="24"/>
              </w:rPr>
              <w:t>Врста/тип</w:t>
            </w:r>
            <w:r>
              <w:rPr>
                <w:i/>
                <w:spacing w:val="-2"/>
                <w:sz w:val="24"/>
              </w:rPr>
              <w:t> </w:t>
            </w:r>
            <w:r>
              <w:rPr>
                <w:i/>
                <w:spacing w:val="-4"/>
                <w:sz w:val="24"/>
              </w:rPr>
              <w:t>мере</w:t>
            </w:r>
          </w:p>
        </w:tc>
        <w:tc>
          <w:tcPr>
            <w:tcW w:w="7248" w:type="dxa"/>
          </w:tcPr>
          <w:p>
            <w:pPr>
              <w:pStyle w:val="TableParagraph"/>
              <w:spacing w:line="246" w:lineRule="exact"/>
              <w:ind w:left="215"/>
              <w:rPr>
                <w:sz w:val="24"/>
              </w:rPr>
            </w:pPr>
            <w:r>
              <w:rPr>
                <w:sz w:val="24"/>
              </w:rPr>
              <w:t>Комбинована:</w:t>
            </w:r>
            <w:r>
              <w:rPr>
                <w:spacing w:val="-6"/>
                <w:sz w:val="24"/>
              </w:rPr>
              <w:t> </w:t>
            </w:r>
            <w:r>
              <w:rPr>
                <w:sz w:val="24"/>
              </w:rPr>
              <w:t>регулаторна;</w:t>
            </w:r>
            <w:r>
              <w:rPr>
                <w:spacing w:val="-4"/>
                <w:sz w:val="24"/>
              </w:rPr>
              <w:t> </w:t>
            </w:r>
            <w:r>
              <w:rPr>
                <w:sz w:val="24"/>
              </w:rPr>
              <w:t>подстицајна;</w:t>
            </w:r>
            <w:r>
              <w:rPr>
                <w:spacing w:val="-5"/>
                <w:sz w:val="24"/>
              </w:rPr>
              <w:t> </w:t>
            </w:r>
            <w:r>
              <w:rPr>
                <w:sz w:val="24"/>
              </w:rPr>
              <w:t>информативно</w:t>
            </w:r>
            <w:r>
              <w:rPr>
                <w:spacing w:val="-4"/>
                <w:sz w:val="24"/>
              </w:rPr>
              <w:t> </w:t>
            </w:r>
            <w:r>
              <w:rPr>
                <w:spacing w:val="-2"/>
                <w:sz w:val="24"/>
              </w:rPr>
              <w:t>едукативна</w:t>
            </w:r>
          </w:p>
        </w:tc>
      </w:tr>
    </w:tbl>
    <w:p>
      <w:pPr>
        <w:pStyle w:val="TableParagraph"/>
        <w:spacing w:after="0" w:line="246" w:lineRule="exact"/>
        <w:rPr>
          <w:sz w:val="24"/>
        </w:rPr>
        <w:sectPr>
          <w:pgSz w:w="12240" w:h="15840"/>
          <w:pgMar w:header="0" w:footer="702" w:top="1360" w:bottom="900" w:left="1080" w:right="720"/>
        </w:sectPr>
      </w:pPr>
    </w:p>
    <w:p>
      <w:pPr>
        <w:pStyle w:val="Heading2"/>
        <w:spacing w:before="79"/>
      </w:pPr>
      <w:r>
        <w:rPr/>
        <w:t>Мера</w:t>
      </w:r>
      <w:r>
        <w:rPr>
          <w:spacing w:val="-3"/>
        </w:rPr>
        <w:t> </w:t>
      </w:r>
      <w:r>
        <w:rPr/>
        <w:t>1.6.</w:t>
      </w:r>
      <w:r>
        <w:rPr>
          <w:spacing w:val="-2"/>
        </w:rPr>
        <w:t> </w:t>
      </w:r>
      <w:r>
        <w:rPr/>
        <w:t>Унапређење</w:t>
      </w:r>
      <w:r>
        <w:rPr>
          <w:spacing w:val="-4"/>
        </w:rPr>
        <w:t> </w:t>
      </w:r>
      <w:r>
        <w:rPr/>
        <w:t>дијалога</w:t>
      </w:r>
      <w:r>
        <w:rPr>
          <w:spacing w:val="-2"/>
        </w:rPr>
        <w:t> </w:t>
      </w:r>
      <w:r>
        <w:rPr/>
        <w:t>актера</w:t>
      </w:r>
      <w:r>
        <w:rPr>
          <w:spacing w:val="-6"/>
        </w:rPr>
        <w:t> </w:t>
      </w:r>
      <w:r>
        <w:rPr/>
        <w:t>на</w:t>
      </w:r>
      <w:r>
        <w:rPr>
          <w:spacing w:val="-2"/>
        </w:rPr>
        <w:t> </w:t>
      </w:r>
      <w:r>
        <w:rPr/>
        <w:t>тржишту</w:t>
      </w:r>
      <w:r>
        <w:rPr>
          <w:spacing w:val="-2"/>
        </w:rPr>
        <w:t> </w:t>
      </w:r>
      <w:r>
        <w:rPr>
          <w:spacing w:val="-4"/>
        </w:rPr>
        <w:t>рада</w:t>
      </w:r>
    </w:p>
    <w:p>
      <w:pPr>
        <w:pStyle w:val="BodyText"/>
        <w:spacing w:before="36"/>
        <w:ind w:left="0"/>
        <w:jc w:val="left"/>
        <w:rPr>
          <w:b/>
        </w:rPr>
      </w:pPr>
    </w:p>
    <w:p>
      <w:pPr>
        <w:pStyle w:val="BodyText"/>
        <w:ind w:right="720" w:firstLine="719"/>
      </w:pPr>
      <w:r>
        <w:rPr/>
        <w:t>Дијалог који прати креирање политика или интервенција, које за свој циљ треба да имају побољшање положаја на тржишту рада и остваривање постулата достојанственог рада и за категорије лица које се суочавају са факторима вишеструке теже запошљивости, може бити сврсисходан и ефективан само уколико је у</w:t>
      </w:r>
      <w:r>
        <w:rPr>
          <w:spacing w:val="-1"/>
        </w:rPr>
        <w:t> </w:t>
      </w:r>
      <w:r>
        <w:rPr/>
        <w:t>форми структуиране дебате у којој активно учествују, поред социјалних партнера и Владе, представници релевантних организација цивилног друштва, стручњака, академске и донаторске заједнице.</w:t>
      </w:r>
    </w:p>
    <w:p>
      <w:pPr>
        <w:pStyle w:val="BodyText"/>
        <w:spacing w:before="120"/>
        <w:ind w:right="718" w:firstLine="719"/>
      </w:pPr>
      <w:r>
        <w:rPr/>
        <w:t>Иако област политике запошљавања карактерише висок ниво оствареног дијалога, исти је неопходно и надаље развијати и јачати у складу са стандардима релевантних међународних</w:t>
      </w:r>
      <w:r>
        <w:rPr>
          <w:spacing w:val="-12"/>
        </w:rPr>
        <w:t> </w:t>
      </w:r>
      <w:r>
        <w:rPr/>
        <w:t>организација</w:t>
      </w:r>
      <w:r>
        <w:rPr>
          <w:spacing w:val="-13"/>
        </w:rPr>
        <w:t> </w:t>
      </w:r>
      <w:r>
        <w:rPr/>
        <w:t>и</w:t>
      </w:r>
      <w:r>
        <w:rPr>
          <w:spacing w:val="-14"/>
        </w:rPr>
        <w:t> </w:t>
      </w:r>
      <w:r>
        <w:rPr/>
        <w:t>политике</w:t>
      </w:r>
      <w:r>
        <w:rPr>
          <w:spacing w:val="-13"/>
        </w:rPr>
        <w:t> </w:t>
      </w:r>
      <w:r>
        <w:rPr/>
        <w:t>кохезије</w:t>
      </w:r>
      <w:r>
        <w:rPr>
          <w:spacing w:val="-13"/>
        </w:rPr>
        <w:t> </w:t>
      </w:r>
      <w:r>
        <w:rPr/>
        <w:t>која</w:t>
      </w:r>
      <w:r>
        <w:rPr>
          <w:spacing w:val="-13"/>
        </w:rPr>
        <w:t> </w:t>
      </w:r>
      <w:r>
        <w:rPr/>
        <w:t>важи</w:t>
      </w:r>
      <w:r>
        <w:rPr>
          <w:spacing w:val="-12"/>
        </w:rPr>
        <w:t> </w:t>
      </w:r>
      <w:r>
        <w:rPr/>
        <w:t>на</w:t>
      </w:r>
      <w:r>
        <w:rPr>
          <w:spacing w:val="-13"/>
        </w:rPr>
        <w:t> </w:t>
      </w:r>
      <w:r>
        <w:rPr/>
        <w:t>нивоу</w:t>
      </w:r>
      <w:r>
        <w:rPr>
          <w:spacing w:val="-15"/>
        </w:rPr>
        <w:t> </w:t>
      </w:r>
      <w:r>
        <w:rPr/>
        <w:t>ЕУ,</w:t>
      </w:r>
      <w:r>
        <w:rPr>
          <w:spacing w:val="-12"/>
        </w:rPr>
        <w:t> </w:t>
      </w:r>
      <w:r>
        <w:rPr/>
        <w:t>али</w:t>
      </w:r>
      <w:r>
        <w:rPr>
          <w:spacing w:val="-12"/>
        </w:rPr>
        <w:t> </w:t>
      </w:r>
      <w:r>
        <w:rPr/>
        <w:t>га</w:t>
      </w:r>
      <w:r>
        <w:rPr>
          <w:spacing w:val="-13"/>
        </w:rPr>
        <w:t> </w:t>
      </w:r>
      <w:r>
        <w:rPr/>
        <w:t>истовремено ширити и интензивирати у свим секторима и политикама од значаја и утицаја на тржиште рада, с обзиром да се једино кроз сарадњу, разумевање, солидарност и заједнички рад, као </w:t>
      </w:r>
      <w:r>
        <w:rPr>
          <w:spacing w:val="-2"/>
        </w:rPr>
        <w:t>основне</w:t>
      </w:r>
      <w:r>
        <w:rPr>
          <w:spacing w:val="-3"/>
        </w:rPr>
        <w:t> </w:t>
      </w:r>
      <w:r>
        <w:rPr>
          <w:spacing w:val="-2"/>
        </w:rPr>
        <w:t>вредности дијалога</w:t>
      </w:r>
      <w:r>
        <w:rPr>
          <w:spacing w:val="-3"/>
        </w:rPr>
        <w:t> </w:t>
      </w:r>
      <w:r>
        <w:rPr>
          <w:spacing w:val="-2"/>
        </w:rPr>
        <w:t>различитих актера, може</w:t>
      </w:r>
      <w:r>
        <w:rPr>
          <w:spacing w:val="-3"/>
        </w:rPr>
        <w:t> </w:t>
      </w:r>
      <w:r>
        <w:rPr>
          <w:spacing w:val="-2"/>
        </w:rPr>
        <w:t>адекватно, организовано и</w:t>
      </w:r>
      <w:r>
        <w:rPr>
          <w:spacing w:val="-3"/>
        </w:rPr>
        <w:t> </w:t>
      </w:r>
      <w:r>
        <w:rPr>
          <w:spacing w:val="-2"/>
        </w:rPr>
        <w:t>делотворно </w:t>
      </w:r>
      <w:r>
        <w:rPr/>
        <w:t>утицати на повећање квалитетне запослености.</w:t>
      </w:r>
    </w:p>
    <w:p>
      <w:pPr>
        <w:pStyle w:val="BodyText"/>
        <w:spacing w:before="121"/>
        <w:ind w:right="717" w:firstLine="719"/>
      </w:pPr>
      <w:r>
        <w:rPr/>
        <w:t>Дијалог</w:t>
      </w:r>
      <w:r>
        <w:rPr>
          <w:spacing w:val="-5"/>
        </w:rPr>
        <w:t> </w:t>
      </w:r>
      <w:r>
        <w:rPr/>
        <w:t>између</w:t>
      </w:r>
      <w:r>
        <w:rPr>
          <w:spacing w:val="-9"/>
        </w:rPr>
        <w:t> </w:t>
      </w:r>
      <w:r>
        <w:rPr/>
        <w:t>институционалних</w:t>
      </w:r>
      <w:r>
        <w:rPr>
          <w:spacing w:val="-3"/>
        </w:rPr>
        <w:t> </w:t>
      </w:r>
      <w:r>
        <w:rPr/>
        <w:t>и</w:t>
      </w:r>
      <w:r>
        <w:rPr>
          <w:spacing w:val="-5"/>
        </w:rPr>
        <w:t> </w:t>
      </w:r>
      <w:r>
        <w:rPr/>
        <w:t>ванинституционалних</w:t>
      </w:r>
      <w:r>
        <w:rPr>
          <w:spacing w:val="-3"/>
        </w:rPr>
        <w:t> </w:t>
      </w:r>
      <w:r>
        <w:rPr/>
        <w:t>актера,</w:t>
      </w:r>
      <w:r>
        <w:rPr>
          <w:spacing w:val="-5"/>
        </w:rPr>
        <w:t> </w:t>
      </w:r>
      <w:r>
        <w:rPr/>
        <w:t>као</w:t>
      </w:r>
      <w:r>
        <w:rPr>
          <w:spacing w:val="-5"/>
        </w:rPr>
        <w:t> </w:t>
      </w:r>
      <w:r>
        <w:rPr/>
        <w:t>демократско средство које фаворизује транспарентност може играти пресудну улогу у побољшању квалитета, ефикасности и широког власништва над јавним политикама. На овај начин, подстиче се и активно учешће група које су често искључене из процеса одлучивања, а предмет су деловања.</w:t>
      </w:r>
    </w:p>
    <w:p>
      <w:pPr>
        <w:pStyle w:val="BodyText"/>
        <w:spacing w:before="121"/>
        <w:ind w:right="715" w:firstLine="719"/>
      </w:pPr>
      <w:r>
        <w:rPr/>
        <w:t>За наредни период, планирано је спровођење низа промотивних активности, ради информисања јавног мњења о текућим и планираним активностима у домену политике запошљавања и активације учешћа релевантних актера на свим нивоима, као и тематских састанака</w:t>
      </w:r>
      <w:r>
        <w:rPr>
          <w:spacing w:val="-15"/>
        </w:rPr>
        <w:t> </w:t>
      </w:r>
      <w:r>
        <w:rPr/>
        <w:t>током</w:t>
      </w:r>
      <w:r>
        <w:rPr>
          <w:spacing w:val="-15"/>
        </w:rPr>
        <w:t> </w:t>
      </w:r>
      <w:r>
        <w:rPr/>
        <w:t>којих</w:t>
      </w:r>
      <w:r>
        <w:rPr>
          <w:spacing w:val="-12"/>
        </w:rPr>
        <w:t> </w:t>
      </w:r>
      <w:r>
        <w:rPr/>
        <w:t>ће</w:t>
      </w:r>
      <w:r>
        <w:rPr>
          <w:spacing w:val="-15"/>
        </w:rPr>
        <w:t> </w:t>
      </w:r>
      <w:r>
        <w:rPr/>
        <w:t>се</w:t>
      </w:r>
      <w:r>
        <w:rPr>
          <w:spacing w:val="-15"/>
        </w:rPr>
        <w:t> </w:t>
      </w:r>
      <w:r>
        <w:rPr/>
        <w:t>разматрати</w:t>
      </w:r>
      <w:r>
        <w:rPr>
          <w:spacing w:val="-13"/>
        </w:rPr>
        <w:t> </w:t>
      </w:r>
      <w:r>
        <w:rPr/>
        <w:t>одређена</w:t>
      </w:r>
      <w:r>
        <w:rPr>
          <w:spacing w:val="-15"/>
        </w:rPr>
        <w:t> </w:t>
      </w:r>
      <w:r>
        <w:rPr/>
        <w:t>питања</w:t>
      </w:r>
      <w:r>
        <w:rPr>
          <w:spacing w:val="-15"/>
        </w:rPr>
        <w:t> </w:t>
      </w:r>
      <w:r>
        <w:rPr/>
        <w:t>из</w:t>
      </w:r>
      <w:r>
        <w:rPr>
          <w:spacing w:val="-15"/>
        </w:rPr>
        <w:t> </w:t>
      </w:r>
      <w:r>
        <w:rPr/>
        <w:t>области</w:t>
      </w:r>
      <w:r>
        <w:rPr>
          <w:spacing w:val="-12"/>
        </w:rPr>
        <w:t> </w:t>
      </w:r>
      <w:r>
        <w:rPr/>
        <w:t>политике</w:t>
      </w:r>
      <w:r>
        <w:rPr>
          <w:spacing w:val="-15"/>
        </w:rPr>
        <w:t> </w:t>
      </w:r>
      <w:r>
        <w:rPr/>
        <w:t>запошљавања или кроз размену искустава, добити важне повратне информације за постизање циљева политике запошљавања.</w:t>
      </w:r>
    </w:p>
    <w:p>
      <w:pPr>
        <w:pStyle w:val="BodyText"/>
        <w:spacing w:before="176"/>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3029"/>
      </w:tblGrid>
      <w:tr>
        <w:trPr>
          <w:trHeight w:val="265" w:hRule="atLeast"/>
        </w:trPr>
        <w:tc>
          <w:tcPr>
            <w:tcW w:w="1956" w:type="dxa"/>
          </w:tcPr>
          <w:p>
            <w:pPr>
              <w:pStyle w:val="TableParagraph"/>
              <w:spacing w:line="246" w:lineRule="exact"/>
              <w:ind w:left="50"/>
              <w:rPr>
                <w:i/>
                <w:sz w:val="24"/>
              </w:rPr>
            </w:pPr>
            <w:r>
              <w:rPr>
                <w:i/>
                <w:sz w:val="24"/>
              </w:rPr>
              <w:t>Врста/тип</w:t>
            </w:r>
            <w:r>
              <w:rPr>
                <w:i/>
                <w:spacing w:val="-2"/>
                <w:sz w:val="24"/>
              </w:rPr>
              <w:t> </w:t>
            </w:r>
            <w:r>
              <w:rPr>
                <w:i/>
                <w:spacing w:val="-4"/>
                <w:sz w:val="24"/>
              </w:rPr>
              <w:t>мере</w:t>
            </w:r>
          </w:p>
        </w:tc>
        <w:tc>
          <w:tcPr>
            <w:tcW w:w="3029" w:type="dxa"/>
          </w:tcPr>
          <w:p>
            <w:pPr>
              <w:pStyle w:val="TableParagraph"/>
              <w:spacing w:line="246" w:lineRule="exact"/>
              <w:ind w:left="215"/>
              <w:rPr>
                <w:sz w:val="24"/>
              </w:rPr>
            </w:pPr>
            <w:r>
              <w:rPr>
                <w:sz w:val="24"/>
              </w:rPr>
              <w:t>Информативно</w:t>
            </w:r>
            <w:r>
              <w:rPr>
                <w:spacing w:val="-4"/>
                <w:sz w:val="24"/>
              </w:rPr>
              <w:t> </w:t>
            </w:r>
            <w:r>
              <w:rPr>
                <w:spacing w:val="-2"/>
                <w:sz w:val="24"/>
              </w:rPr>
              <w:t>едукативна</w:t>
            </w:r>
          </w:p>
        </w:tc>
      </w:tr>
    </w:tbl>
    <w:p>
      <w:pPr>
        <w:pStyle w:val="BodyText"/>
        <w:ind w:left="0"/>
        <w:jc w:val="left"/>
        <w:rPr>
          <w:sz w:val="20"/>
        </w:rPr>
      </w:pPr>
    </w:p>
    <w:p>
      <w:pPr>
        <w:pStyle w:val="BodyText"/>
        <w:spacing w:before="103"/>
        <w:ind w:left="0"/>
        <w:jc w:val="left"/>
        <w:rPr>
          <w:sz w:val="20"/>
        </w:rPr>
      </w:pPr>
      <w:r>
        <w:rPr>
          <w:sz w:val="20"/>
        </w:rPr>
        <mc:AlternateContent>
          <mc:Choice Requires="wps">
            <w:drawing>
              <wp:anchor distT="0" distB="0" distL="0" distR="0" allowOverlap="1" layoutInCell="1" locked="0" behindDoc="1" simplePos="0" relativeHeight="487602176">
                <wp:simplePos x="0" y="0"/>
                <wp:positionH relativeFrom="page">
                  <wp:posOffset>896416</wp:posOffset>
                </wp:positionH>
                <wp:positionV relativeFrom="paragraph">
                  <wp:posOffset>226953</wp:posOffset>
                </wp:positionV>
                <wp:extent cx="5981065" cy="378460"/>
                <wp:effectExtent l="0" t="0" r="0" b="0"/>
                <wp:wrapTopAndBottom/>
                <wp:docPr id="32" name="Textbox 32"/>
                <wp:cNvGraphicFramePr>
                  <a:graphicFrameLocks/>
                </wp:cNvGraphicFramePr>
                <a:graphic>
                  <a:graphicData uri="http://schemas.microsoft.com/office/word/2010/wordprocessingShape">
                    <wps:wsp>
                      <wps:cNvPr id="32" name="Textbox 32"/>
                      <wps:cNvSpPr txBox="1"/>
                      <wps:spPr>
                        <a:xfrm>
                          <a:off x="0" y="0"/>
                          <a:ext cx="5981065" cy="378460"/>
                        </a:xfrm>
                        <a:prstGeom prst="rect">
                          <a:avLst/>
                        </a:prstGeom>
                        <a:solidFill>
                          <a:srgbClr val="D9D9D9"/>
                        </a:solidFill>
                      </wps:spPr>
                      <wps:txbx>
                        <w:txbxContent>
                          <w:p>
                            <w:pPr>
                              <w:spacing w:line="256" w:lineRule="auto" w:before="0"/>
                              <w:ind w:left="28" w:right="0" w:firstLine="0"/>
                              <w:jc w:val="left"/>
                              <w:rPr>
                                <w:b/>
                                <w:color w:val="000000"/>
                                <w:sz w:val="24"/>
                              </w:rPr>
                            </w:pPr>
                            <w:r>
                              <w:rPr>
                                <w:b/>
                                <w:color w:val="000000"/>
                                <w:sz w:val="24"/>
                              </w:rPr>
                              <w:t>Посебни</w:t>
                            </w:r>
                            <w:r>
                              <w:rPr>
                                <w:b/>
                                <w:color w:val="000000"/>
                                <w:spacing w:val="-6"/>
                                <w:sz w:val="24"/>
                              </w:rPr>
                              <w:t> </w:t>
                            </w:r>
                            <w:r>
                              <w:rPr>
                                <w:b/>
                                <w:color w:val="000000"/>
                                <w:sz w:val="24"/>
                              </w:rPr>
                              <w:t>циљ</w:t>
                            </w:r>
                            <w:r>
                              <w:rPr>
                                <w:b/>
                                <w:color w:val="000000"/>
                                <w:spacing w:val="-7"/>
                                <w:sz w:val="24"/>
                              </w:rPr>
                              <w:t> </w:t>
                            </w:r>
                            <w:r>
                              <w:rPr>
                                <w:b/>
                                <w:color w:val="000000"/>
                                <w:sz w:val="24"/>
                              </w:rPr>
                              <w:t>2.</w:t>
                            </w:r>
                            <w:r>
                              <w:rPr>
                                <w:b/>
                                <w:color w:val="000000"/>
                                <w:spacing w:val="-6"/>
                                <w:sz w:val="24"/>
                              </w:rPr>
                              <w:t> </w:t>
                            </w:r>
                            <w:r>
                              <w:rPr>
                                <w:b/>
                                <w:color w:val="000000"/>
                                <w:sz w:val="24"/>
                              </w:rPr>
                              <w:t>-</w:t>
                            </w:r>
                            <w:r>
                              <w:rPr>
                                <w:b/>
                                <w:color w:val="000000"/>
                                <w:spacing w:val="-8"/>
                                <w:sz w:val="24"/>
                              </w:rPr>
                              <w:t> </w:t>
                            </w:r>
                            <w:r>
                              <w:rPr>
                                <w:b/>
                                <w:color w:val="000000"/>
                                <w:sz w:val="24"/>
                              </w:rPr>
                              <w:t>Унапређен</w:t>
                            </w:r>
                            <w:r>
                              <w:rPr>
                                <w:b/>
                                <w:color w:val="000000"/>
                                <w:spacing w:val="-6"/>
                                <w:sz w:val="24"/>
                              </w:rPr>
                              <w:t> </w:t>
                            </w:r>
                            <w:r>
                              <w:rPr>
                                <w:b/>
                                <w:color w:val="000000"/>
                                <w:sz w:val="24"/>
                              </w:rPr>
                              <w:t>положај</w:t>
                            </w:r>
                            <w:r>
                              <w:rPr>
                                <w:b/>
                                <w:color w:val="000000"/>
                                <w:spacing w:val="-8"/>
                                <w:sz w:val="24"/>
                              </w:rPr>
                              <w:t> </w:t>
                            </w:r>
                            <w:r>
                              <w:rPr>
                                <w:b/>
                                <w:color w:val="000000"/>
                                <w:sz w:val="24"/>
                              </w:rPr>
                              <w:t>теже</w:t>
                            </w:r>
                            <w:r>
                              <w:rPr>
                                <w:b/>
                                <w:color w:val="000000"/>
                                <w:spacing w:val="-5"/>
                                <w:sz w:val="24"/>
                              </w:rPr>
                              <w:t> </w:t>
                            </w:r>
                            <w:r>
                              <w:rPr>
                                <w:b/>
                                <w:color w:val="000000"/>
                                <w:sz w:val="24"/>
                              </w:rPr>
                              <w:t>запошљивих</w:t>
                            </w:r>
                            <w:r>
                              <w:rPr>
                                <w:b/>
                                <w:color w:val="000000"/>
                                <w:spacing w:val="-7"/>
                                <w:sz w:val="24"/>
                              </w:rPr>
                              <w:t> </w:t>
                            </w:r>
                            <w:r>
                              <w:rPr>
                                <w:b/>
                                <w:color w:val="000000"/>
                                <w:sz w:val="24"/>
                              </w:rPr>
                              <w:t>категорија</w:t>
                            </w:r>
                            <w:r>
                              <w:rPr>
                                <w:b/>
                                <w:color w:val="000000"/>
                                <w:spacing w:val="-10"/>
                                <w:sz w:val="24"/>
                              </w:rPr>
                              <w:t> </w:t>
                            </w:r>
                            <w:r>
                              <w:rPr>
                                <w:b/>
                                <w:color w:val="000000"/>
                                <w:sz w:val="24"/>
                              </w:rPr>
                              <w:t>незапослених</w:t>
                            </w:r>
                            <w:r>
                              <w:rPr>
                                <w:b/>
                                <w:color w:val="000000"/>
                                <w:spacing w:val="-7"/>
                                <w:sz w:val="24"/>
                              </w:rPr>
                              <w:t> </w:t>
                            </w:r>
                            <w:r>
                              <w:rPr>
                                <w:b/>
                                <w:color w:val="000000"/>
                                <w:sz w:val="24"/>
                              </w:rPr>
                              <w:t>лица на тржишту рада</w:t>
                            </w:r>
                          </w:p>
                        </w:txbxContent>
                      </wps:txbx>
                      <wps:bodyPr wrap="square" lIns="0" tIns="0" rIns="0" bIns="0" rtlCol="0">
                        <a:noAutofit/>
                      </wps:bodyPr>
                    </wps:wsp>
                  </a:graphicData>
                </a:graphic>
              </wp:anchor>
            </w:drawing>
          </mc:Choice>
          <mc:Fallback>
            <w:pict>
              <v:shape style="position:absolute;margin-left:70.584pt;margin-top:17.870337pt;width:470.95pt;height:29.8pt;mso-position-horizontal-relative:page;mso-position-vertical-relative:paragraph;z-index:-15714304;mso-wrap-distance-left:0;mso-wrap-distance-right:0" type="#_x0000_t202" id="docshape30" filled="true" fillcolor="#d9d9d9" stroked="false">
                <v:textbox inset="0,0,0,0">
                  <w:txbxContent>
                    <w:p>
                      <w:pPr>
                        <w:spacing w:line="256" w:lineRule="auto" w:before="0"/>
                        <w:ind w:left="28" w:right="0" w:firstLine="0"/>
                        <w:jc w:val="left"/>
                        <w:rPr>
                          <w:b/>
                          <w:color w:val="000000"/>
                          <w:sz w:val="24"/>
                        </w:rPr>
                      </w:pPr>
                      <w:r>
                        <w:rPr>
                          <w:b/>
                          <w:color w:val="000000"/>
                          <w:sz w:val="24"/>
                        </w:rPr>
                        <w:t>Посебни</w:t>
                      </w:r>
                      <w:r>
                        <w:rPr>
                          <w:b/>
                          <w:color w:val="000000"/>
                          <w:spacing w:val="-6"/>
                          <w:sz w:val="24"/>
                        </w:rPr>
                        <w:t> </w:t>
                      </w:r>
                      <w:r>
                        <w:rPr>
                          <w:b/>
                          <w:color w:val="000000"/>
                          <w:sz w:val="24"/>
                        </w:rPr>
                        <w:t>циљ</w:t>
                      </w:r>
                      <w:r>
                        <w:rPr>
                          <w:b/>
                          <w:color w:val="000000"/>
                          <w:spacing w:val="-7"/>
                          <w:sz w:val="24"/>
                        </w:rPr>
                        <w:t> </w:t>
                      </w:r>
                      <w:r>
                        <w:rPr>
                          <w:b/>
                          <w:color w:val="000000"/>
                          <w:sz w:val="24"/>
                        </w:rPr>
                        <w:t>2.</w:t>
                      </w:r>
                      <w:r>
                        <w:rPr>
                          <w:b/>
                          <w:color w:val="000000"/>
                          <w:spacing w:val="-6"/>
                          <w:sz w:val="24"/>
                        </w:rPr>
                        <w:t> </w:t>
                      </w:r>
                      <w:r>
                        <w:rPr>
                          <w:b/>
                          <w:color w:val="000000"/>
                          <w:sz w:val="24"/>
                        </w:rPr>
                        <w:t>-</w:t>
                      </w:r>
                      <w:r>
                        <w:rPr>
                          <w:b/>
                          <w:color w:val="000000"/>
                          <w:spacing w:val="-8"/>
                          <w:sz w:val="24"/>
                        </w:rPr>
                        <w:t> </w:t>
                      </w:r>
                      <w:r>
                        <w:rPr>
                          <w:b/>
                          <w:color w:val="000000"/>
                          <w:sz w:val="24"/>
                        </w:rPr>
                        <w:t>Унапређен</w:t>
                      </w:r>
                      <w:r>
                        <w:rPr>
                          <w:b/>
                          <w:color w:val="000000"/>
                          <w:spacing w:val="-6"/>
                          <w:sz w:val="24"/>
                        </w:rPr>
                        <w:t> </w:t>
                      </w:r>
                      <w:r>
                        <w:rPr>
                          <w:b/>
                          <w:color w:val="000000"/>
                          <w:sz w:val="24"/>
                        </w:rPr>
                        <w:t>положај</w:t>
                      </w:r>
                      <w:r>
                        <w:rPr>
                          <w:b/>
                          <w:color w:val="000000"/>
                          <w:spacing w:val="-8"/>
                          <w:sz w:val="24"/>
                        </w:rPr>
                        <w:t> </w:t>
                      </w:r>
                      <w:r>
                        <w:rPr>
                          <w:b/>
                          <w:color w:val="000000"/>
                          <w:sz w:val="24"/>
                        </w:rPr>
                        <w:t>теже</w:t>
                      </w:r>
                      <w:r>
                        <w:rPr>
                          <w:b/>
                          <w:color w:val="000000"/>
                          <w:spacing w:val="-5"/>
                          <w:sz w:val="24"/>
                        </w:rPr>
                        <w:t> </w:t>
                      </w:r>
                      <w:r>
                        <w:rPr>
                          <w:b/>
                          <w:color w:val="000000"/>
                          <w:sz w:val="24"/>
                        </w:rPr>
                        <w:t>запошљивих</w:t>
                      </w:r>
                      <w:r>
                        <w:rPr>
                          <w:b/>
                          <w:color w:val="000000"/>
                          <w:spacing w:val="-7"/>
                          <w:sz w:val="24"/>
                        </w:rPr>
                        <w:t> </w:t>
                      </w:r>
                      <w:r>
                        <w:rPr>
                          <w:b/>
                          <w:color w:val="000000"/>
                          <w:sz w:val="24"/>
                        </w:rPr>
                        <w:t>категорија</w:t>
                      </w:r>
                      <w:r>
                        <w:rPr>
                          <w:b/>
                          <w:color w:val="000000"/>
                          <w:spacing w:val="-10"/>
                          <w:sz w:val="24"/>
                        </w:rPr>
                        <w:t> </w:t>
                      </w:r>
                      <w:r>
                        <w:rPr>
                          <w:b/>
                          <w:color w:val="000000"/>
                          <w:sz w:val="24"/>
                        </w:rPr>
                        <w:t>незапослених</w:t>
                      </w:r>
                      <w:r>
                        <w:rPr>
                          <w:b/>
                          <w:color w:val="000000"/>
                          <w:spacing w:val="-7"/>
                          <w:sz w:val="24"/>
                        </w:rPr>
                        <w:t> </w:t>
                      </w:r>
                      <w:r>
                        <w:rPr>
                          <w:b/>
                          <w:color w:val="000000"/>
                          <w:sz w:val="24"/>
                        </w:rPr>
                        <w:t>лица на тржишту рада</w:t>
                      </w:r>
                    </w:p>
                  </w:txbxContent>
                </v:textbox>
                <v:fill type="solid"/>
                <w10:wrap type="topAndBottom"/>
              </v:shape>
            </w:pict>
          </mc:Fallback>
        </mc:AlternateContent>
      </w:r>
    </w:p>
    <w:p>
      <w:pPr>
        <w:pStyle w:val="BodyText"/>
        <w:spacing w:before="181"/>
        <w:ind w:left="0"/>
        <w:jc w:val="left"/>
      </w:pPr>
    </w:p>
    <w:p>
      <w:pPr>
        <w:pStyle w:val="Heading2"/>
        <w:spacing w:line="259" w:lineRule="auto"/>
      </w:pPr>
      <w:r>
        <w:rPr/>
        <w:t>Мера</w:t>
      </w:r>
      <w:r>
        <w:rPr>
          <w:spacing w:val="-9"/>
        </w:rPr>
        <w:t> </w:t>
      </w:r>
      <w:r>
        <w:rPr/>
        <w:t>2.1.</w:t>
      </w:r>
      <w:r>
        <w:rPr>
          <w:spacing w:val="-9"/>
        </w:rPr>
        <w:t> </w:t>
      </w:r>
      <w:r>
        <w:rPr/>
        <w:t>-</w:t>
      </w:r>
      <w:r>
        <w:rPr>
          <w:spacing w:val="-10"/>
        </w:rPr>
        <w:t> </w:t>
      </w:r>
      <w:r>
        <w:rPr/>
        <w:t>Креирање</w:t>
      </w:r>
      <w:r>
        <w:rPr>
          <w:spacing w:val="-13"/>
        </w:rPr>
        <w:t> </w:t>
      </w:r>
      <w:r>
        <w:rPr/>
        <w:t>мера</w:t>
      </w:r>
      <w:r>
        <w:rPr>
          <w:spacing w:val="-9"/>
        </w:rPr>
        <w:t> </w:t>
      </w:r>
      <w:r>
        <w:rPr/>
        <w:t>АПЗ</w:t>
      </w:r>
      <w:r>
        <w:rPr>
          <w:spacing w:val="-9"/>
        </w:rPr>
        <w:t> </w:t>
      </w:r>
      <w:r>
        <w:rPr/>
        <w:t>у</w:t>
      </w:r>
      <w:r>
        <w:rPr>
          <w:spacing w:val="-9"/>
        </w:rPr>
        <w:t> </w:t>
      </w:r>
      <w:r>
        <w:rPr/>
        <w:t>циљу</w:t>
      </w:r>
      <w:r>
        <w:rPr>
          <w:spacing w:val="-9"/>
        </w:rPr>
        <w:t> </w:t>
      </w:r>
      <w:r>
        <w:rPr/>
        <w:t>повећања</w:t>
      </w:r>
      <w:r>
        <w:rPr>
          <w:spacing w:val="-9"/>
        </w:rPr>
        <w:t> </w:t>
      </w:r>
      <w:r>
        <w:rPr/>
        <w:t>запошљивости</w:t>
      </w:r>
      <w:r>
        <w:rPr>
          <w:spacing w:val="-9"/>
        </w:rPr>
        <w:t> </w:t>
      </w:r>
      <w:r>
        <w:rPr/>
        <w:t>и</w:t>
      </w:r>
      <w:r>
        <w:rPr>
          <w:spacing w:val="-11"/>
        </w:rPr>
        <w:t> </w:t>
      </w:r>
      <w:r>
        <w:rPr/>
        <w:t>запошљавања</w:t>
      </w:r>
      <w:r>
        <w:rPr>
          <w:spacing w:val="-9"/>
        </w:rPr>
        <w:t> </w:t>
      </w:r>
      <w:r>
        <w:rPr/>
        <w:t>теже запошљивих лица</w:t>
      </w:r>
    </w:p>
    <w:p>
      <w:pPr>
        <w:pStyle w:val="BodyText"/>
        <w:spacing w:before="14"/>
        <w:ind w:left="0"/>
        <w:jc w:val="left"/>
        <w:rPr>
          <w:b/>
        </w:rPr>
      </w:pPr>
    </w:p>
    <w:p>
      <w:pPr>
        <w:pStyle w:val="BodyText"/>
        <w:ind w:right="720" w:firstLine="719"/>
      </w:pPr>
      <w:r>
        <w:rPr/>
        <w:t>Мере</w:t>
      </w:r>
      <w:r>
        <w:rPr>
          <w:spacing w:val="-4"/>
        </w:rPr>
        <w:t> </w:t>
      </w:r>
      <w:r>
        <w:rPr/>
        <w:t>АПЗ,</w:t>
      </w:r>
      <w:r>
        <w:rPr>
          <w:spacing w:val="-4"/>
        </w:rPr>
        <w:t> </w:t>
      </w:r>
      <w:r>
        <w:rPr/>
        <w:t>као</w:t>
      </w:r>
      <w:r>
        <w:rPr>
          <w:spacing w:val="-3"/>
        </w:rPr>
        <w:t> </w:t>
      </w:r>
      <w:r>
        <w:rPr/>
        <w:t>активности усмерене</w:t>
      </w:r>
      <w:r>
        <w:rPr>
          <w:spacing w:val="-4"/>
        </w:rPr>
        <w:t> </w:t>
      </w:r>
      <w:r>
        <w:rPr/>
        <w:t>ка</w:t>
      </w:r>
      <w:r>
        <w:rPr>
          <w:spacing w:val="-2"/>
        </w:rPr>
        <w:t> </w:t>
      </w:r>
      <w:r>
        <w:rPr/>
        <w:t>унапређењу</w:t>
      </w:r>
      <w:r>
        <w:rPr>
          <w:spacing w:val="-7"/>
        </w:rPr>
        <w:t> </w:t>
      </w:r>
      <w:r>
        <w:rPr/>
        <w:t>запошљивости</w:t>
      </w:r>
      <w:r>
        <w:rPr>
          <w:spacing w:val="-4"/>
        </w:rPr>
        <w:t> </w:t>
      </w:r>
      <w:r>
        <w:rPr/>
        <w:t>и</w:t>
      </w:r>
      <w:r>
        <w:rPr>
          <w:spacing w:val="-2"/>
        </w:rPr>
        <w:t> </w:t>
      </w:r>
      <w:r>
        <w:rPr/>
        <w:t>запошљавања, свој утицај примарно остварују на страни понуде у оквирима тржишта рада. Оне се могу груписати на: активно тражење посла; додатно образовање и обуку; субвенције за запошљавање; јавне радове и мере АПЗ за ОСИ које се запошљавају под посебним </w:t>
      </w:r>
      <w:r>
        <w:rPr>
          <w:spacing w:val="-2"/>
        </w:rPr>
        <w:t>условима.</w:t>
      </w:r>
    </w:p>
    <w:p>
      <w:pPr>
        <w:pStyle w:val="BodyText"/>
        <w:spacing w:before="120"/>
        <w:ind w:right="726" w:firstLine="719"/>
      </w:pPr>
      <w:r>
        <w:rPr/>
        <w:t>Мере активног тражења посла за циљ имају јачање мотивације и самопоуздања и самоефикасности</w:t>
      </w:r>
      <w:r>
        <w:rPr>
          <w:spacing w:val="61"/>
        </w:rPr>
        <w:t> </w:t>
      </w:r>
      <w:r>
        <w:rPr/>
        <w:t>кроз</w:t>
      </w:r>
      <w:r>
        <w:rPr>
          <w:spacing w:val="64"/>
        </w:rPr>
        <w:t> </w:t>
      </w:r>
      <w:r>
        <w:rPr/>
        <w:t>развој</w:t>
      </w:r>
      <w:r>
        <w:rPr>
          <w:spacing w:val="63"/>
        </w:rPr>
        <w:t> </w:t>
      </w:r>
      <w:r>
        <w:rPr/>
        <w:t>вештина</w:t>
      </w:r>
      <w:r>
        <w:rPr>
          <w:spacing w:val="62"/>
        </w:rPr>
        <w:t> </w:t>
      </w:r>
      <w:r>
        <w:rPr/>
        <w:t>активног</w:t>
      </w:r>
      <w:r>
        <w:rPr>
          <w:spacing w:val="62"/>
        </w:rPr>
        <w:t> </w:t>
      </w:r>
      <w:r>
        <w:rPr/>
        <w:t>тражења</w:t>
      </w:r>
      <w:r>
        <w:rPr>
          <w:spacing w:val="64"/>
        </w:rPr>
        <w:t> </w:t>
      </w:r>
      <w:r>
        <w:rPr/>
        <w:t>посла,</w:t>
      </w:r>
      <w:r>
        <w:rPr>
          <w:spacing w:val="66"/>
        </w:rPr>
        <w:t> </w:t>
      </w:r>
      <w:r>
        <w:rPr/>
        <w:t>укључујући</w:t>
      </w:r>
      <w:r>
        <w:rPr>
          <w:spacing w:val="64"/>
        </w:rPr>
        <w:t> </w:t>
      </w:r>
      <w:r>
        <w:rPr>
          <w:spacing w:val="-2"/>
        </w:rPr>
        <w:t>добијање</w:t>
      </w:r>
    </w:p>
    <w:p>
      <w:pPr>
        <w:pStyle w:val="BodyText"/>
        <w:spacing w:after="0"/>
        <w:sectPr>
          <w:pgSz w:w="12240" w:h="15840"/>
          <w:pgMar w:header="0" w:footer="702" w:top="1360" w:bottom="900" w:left="1080" w:right="720"/>
        </w:sectPr>
      </w:pPr>
    </w:p>
    <w:p>
      <w:pPr>
        <w:pStyle w:val="BodyText"/>
        <w:spacing w:before="72"/>
        <w:ind w:right="717"/>
      </w:pPr>
      <w:r>
        <w:rPr/>
        <w:t>информација о понуди и потражњи на тржишту рада, стицање вештине за представљање послодавцу,</w:t>
      </w:r>
      <w:r>
        <w:rPr>
          <w:spacing w:val="-4"/>
        </w:rPr>
        <w:t> </w:t>
      </w:r>
      <w:r>
        <w:rPr/>
        <w:t>задржавање</w:t>
      </w:r>
      <w:r>
        <w:rPr>
          <w:spacing w:val="-4"/>
        </w:rPr>
        <w:t> </w:t>
      </w:r>
      <w:r>
        <w:rPr/>
        <w:t>посла</w:t>
      </w:r>
      <w:r>
        <w:rPr>
          <w:spacing w:val="-5"/>
        </w:rPr>
        <w:t> </w:t>
      </w:r>
      <w:r>
        <w:rPr/>
        <w:t>и</w:t>
      </w:r>
      <w:r>
        <w:rPr>
          <w:spacing w:val="-4"/>
        </w:rPr>
        <w:t> </w:t>
      </w:r>
      <w:r>
        <w:rPr/>
        <w:t>др.</w:t>
      </w:r>
      <w:r>
        <w:rPr>
          <w:spacing w:val="-6"/>
        </w:rPr>
        <w:t> </w:t>
      </w:r>
      <w:r>
        <w:rPr/>
        <w:t>Будући</w:t>
      </w:r>
      <w:r>
        <w:rPr>
          <w:spacing w:val="-4"/>
        </w:rPr>
        <w:t> </w:t>
      </w:r>
      <w:r>
        <w:rPr/>
        <w:t>да</w:t>
      </w:r>
      <w:r>
        <w:rPr>
          <w:spacing w:val="-5"/>
        </w:rPr>
        <w:t> </w:t>
      </w:r>
      <w:r>
        <w:rPr/>
        <w:t>се</w:t>
      </w:r>
      <w:r>
        <w:rPr>
          <w:spacing w:val="-3"/>
        </w:rPr>
        <w:t> </w:t>
      </w:r>
      <w:r>
        <w:rPr/>
        <w:t>у</w:t>
      </w:r>
      <w:r>
        <w:rPr>
          <w:spacing w:val="-8"/>
        </w:rPr>
        <w:t> </w:t>
      </w:r>
      <w:r>
        <w:rPr/>
        <w:t>мере</w:t>
      </w:r>
      <w:r>
        <w:rPr>
          <w:spacing w:val="-5"/>
        </w:rPr>
        <w:t> </w:t>
      </w:r>
      <w:r>
        <w:rPr/>
        <w:t>активног</w:t>
      </w:r>
      <w:r>
        <w:rPr>
          <w:spacing w:val="-5"/>
        </w:rPr>
        <w:t> </w:t>
      </w:r>
      <w:r>
        <w:rPr/>
        <w:t>тражења</w:t>
      </w:r>
      <w:r>
        <w:rPr>
          <w:spacing w:val="-5"/>
        </w:rPr>
        <w:t> </w:t>
      </w:r>
      <w:r>
        <w:rPr/>
        <w:t>посла</w:t>
      </w:r>
      <w:r>
        <w:rPr>
          <w:spacing w:val="-3"/>
        </w:rPr>
        <w:t> </w:t>
      </w:r>
      <w:r>
        <w:rPr/>
        <w:t>укључује велики</w:t>
      </w:r>
      <w:r>
        <w:rPr>
          <w:spacing w:val="-6"/>
        </w:rPr>
        <w:t> </w:t>
      </w:r>
      <w:r>
        <w:rPr/>
        <w:t>број</w:t>
      </w:r>
      <w:r>
        <w:rPr>
          <w:spacing w:val="-9"/>
        </w:rPr>
        <w:t> </w:t>
      </w:r>
      <w:r>
        <w:rPr/>
        <w:t>лица,</w:t>
      </w:r>
      <w:r>
        <w:rPr>
          <w:spacing w:val="-7"/>
        </w:rPr>
        <w:t> </w:t>
      </w:r>
      <w:r>
        <w:rPr/>
        <w:t>јер</w:t>
      </w:r>
      <w:r>
        <w:rPr>
          <w:spacing w:val="-10"/>
        </w:rPr>
        <w:t> </w:t>
      </w:r>
      <w:r>
        <w:rPr/>
        <w:t>и</w:t>
      </w:r>
      <w:r>
        <w:rPr>
          <w:spacing w:val="-9"/>
        </w:rPr>
        <w:t> </w:t>
      </w:r>
      <w:r>
        <w:rPr/>
        <w:t>она</w:t>
      </w:r>
      <w:r>
        <w:rPr>
          <w:spacing w:val="-8"/>
        </w:rPr>
        <w:t> </w:t>
      </w:r>
      <w:r>
        <w:rPr/>
        <w:t>лица</w:t>
      </w:r>
      <w:r>
        <w:rPr>
          <w:spacing w:val="-8"/>
        </w:rPr>
        <w:t> </w:t>
      </w:r>
      <w:r>
        <w:rPr/>
        <w:t>која</w:t>
      </w:r>
      <w:r>
        <w:rPr>
          <w:spacing w:val="-8"/>
        </w:rPr>
        <w:t> </w:t>
      </w:r>
      <w:r>
        <w:rPr/>
        <w:t>имају</w:t>
      </w:r>
      <w:r>
        <w:rPr>
          <w:spacing w:val="-12"/>
        </w:rPr>
        <w:t> </w:t>
      </w:r>
      <w:r>
        <w:rPr/>
        <w:t>задовољавајући</w:t>
      </w:r>
      <w:r>
        <w:rPr>
          <w:spacing w:val="-6"/>
        </w:rPr>
        <w:t> </w:t>
      </w:r>
      <w:r>
        <w:rPr/>
        <w:t>ниво</w:t>
      </w:r>
      <w:r>
        <w:rPr>
          <w:spacing w:val="-8"/>
        </w:rPr>
        <w:t> </w:t>
      </w:r>
      <w:r>
        <w:rPr/>
        <w:t>стручних</w:t>
      </w:r>
      <w:r>
        <w:rPr>
          <w:spacing w:val="-5"/>
        </w:rPr>
        <w:t> </w:t>
      </w:r>
      <w:r>
        <w:rPr/>
        <w:t>знања</w:t>
      </w:r>
      <w:r>
        <w:rPr>
          <w:spacing w:val="-8"/>
        </w:rPr>
        <w:t> </w:t>
      </w:r>
      <w:r>
        <w:rPr/>
        <w:t>и</w:t>
      </w:r>
      <w:r>
        <w:rPr>
          <w:spacing w:val="-6"/>
        </w:rPr>
        <w:t> </w:t>
      </w:r>
      <w:r>
        <w:rPr/>
        <w:t>вештина морају научити како да те вештине пласирају на тржишту, веома је важно да се ове мере креирају у различитим модалитетима (дужина трајања, садржај, начин спровођења – непосредно,</w:t>
      </w:r>
      <w:r>
        <w:rPr>
          <w:spacing w:val="-6"/>
        </w:rPr>
        <w:t> </w:t>
      </w:r>
      <w:r>
        <w:rPr/>
        <w:t>онлајн)</w:t>
      </w:r>
      <w:r>
        <w:rPr>
          <w:spacing w:val="-3"/>
        </w:rPr>
        <w:t> </w:t>
      </w:r>
      <w:r>
        <w:rPr/>
        <w:t>у</w:t>
      </w:r>
      <w:r>
        <w:rPr>
          <w:spacing w:val="-14"/>
        </w:rPr>
        <w:t> </w:t>
      </w:r>
      <w:r>
        <w:rPr/>
        <w:t>односу</w:t>
      </w:r>
      <w:r>
        <w:rPr>
          <w:spacing w:val="-11"/>
        </w:rPr>
        <w:t> </w:t>
      </w:r>
      <w:r>
        <w:rPr/>
        <w:t>на</w:t>
      </w:r>
      <w:r>
        <w:rPr>
          <w:spacing w:val="-7"/>
        </w:rPr>
        <w:t> </w:t>
      </w:r>
      <w:r>
        <w:rPr/>
        <w:t>потребе</w:t>
      </w:r>
      <w:r>
        <w:rPr>
          <w:spacing w:val="-7"/>
        </w:rPr>
        <w:t> </w:t>
      </w:r>
      <w:r>
        <w:rPr/>
        <w:t>појединих</w:t>
      </w:r>
      <w:r>
        <w:rPr>
          <w:spacing w:val="-6"/>
        </w:rPr>
        <w:t> </w:t>
      </w:r>
      <w:r>
        <w:rPr/>
        <w:t>категорија</w:t>
      </w:r>
      <w:r>
        <w:rPr>
          <w:spacing w:val="-6"/>
        </w:rPr>
        <w:t> </w:t>
      </w:r>
      <w:r>
        <w:rPr/>
        <w:t>незапослених</w:t>
      </w:r>
      <w:r>
        <w:rPr>
          <w:spacing w:val="-4"/>
        </w:rPr>
        <w:t> </w:t>
      </w:r>
      <w:r>
        <w:rPr/>
        <w:t>лица.</w:t>
      </w:r>
      <w:r>
        <w:rPr>
          <w:spacing w:val="-6"/>
        </w:rPr>
        <w:t> </w:t>
      </w:r>
      <w:r>
        <w:rPr/>
        <w:t>Садржај ових обука редовно треба да се усклађује са захтевима тржишта у погледу начина конкурисања и представљања послодавцу.</w:t>
      </w:r>
    </w:p>
    <w:p>
      <w:pPr>
        <w:pStyle w:val="BodyText"/>
        <w:spacing w:before="120"/>
        <w:ind w:right="721" w:firstLine="719"/>
      </w:pPr>
      <w:r>
        <w:rPr/>
        <w:t>Имајући</w:t>
      </w:r>
      <w:r>
        <w:rPr>
          <w:spacing w:val="-15"/>
        </w:rPr>
        <w:t> </w:t>
      </w:r>
      <w:r>
        <w:rPr/>
        <w:t>у</w:t>
      </w:r>
      <w:r>
        <w:rPr>
          <w:spacing w:val="-15"/>
        </w:rPr>
        <w:t> </w:t>
      </w:r>
      <w:r>
        <w:rPr/>
        <w:t>виду</w:t>
      </w:r>
      <w:r>
        <w:rPr>
          <w:spacing w:val="-15"/>
        </w:rPr>
        <w:t> </w:t>
      </w:r>
      <w:r>
        <w:rPr/>
        <w:t>да</w:t>
      </w:r>
      <w:r>
        <w:rPr>
          <w:spacing w:val="-15"/>
        </w:rPr>
        <w:t> </w:t>
      </w:r>
      <w:r>
        <w:rPr/>
        <w:t>посредовање</w:t>
      </w:r>
      <w:r>
        <w:rPr>
          <w:spacing w:val="-15"/>
        </w:rPr>
        <w:t> </w:t>
      </w:r>
      <w:r>
        <w:rPr/>
        <w:t>у</w:t>
      </w:r>
      <w:r>
        <w:rPr>
          <w:spacing w:val="-15"/>
        </w:rPr>
        <w:t> </w:t>
      </w:r>
      <w:r>
        <w:rPr/>
        <w:t>запошљавању</w:t>
      </w:r>
      <w:r>
        <w:rPr>
          <w:spacing w:val="-15"/>
        </w:rPr>
        <w:t> </w:t>
      </w:r>
      <w:r>
        <w:rPr/>
        <w:t>и</w:t>
      </w:r>
      <w:r>
        <w:rPr>
          <w:spacing w:val="-15"/>
        </w:rPr>
        <w:t> </w:t>
      </w:r>
      <w:r>
        <w:rPr/>
        <w:t>подршка</w:t>
      </w:r>
      <w:r>
        <w:rPr>
          <w:spacing w:val="-15"/>
        </w:rPr>
        <w:t> </w:t>
      </w:r>
      <w:r>
        <w:rPr/>
        <w:t>активном</w:t>
      </w:r>
      <w:r>
        <w:rPr>
          <w:spacing w:val="-15"/>
        </w:rPr>
        <w:t> </w:t>
      </w:r>
      <w:r>
        <w:rPr/>
        <w:t>тражењу</w:t>
      </w:r>
      <w:r>
        <w:rPr>
          <w:spacing w:val="-15"/>
        </w:rPr>
        <w:t> </w:t>
      </w:r>
      <w:r>
        <w:rPr/>
        <w:t>посла, укључујући и сајам запошљавања, превасходно представљају услуге које НСЗ пружа послодавцима и незапосленим лицима, у складу са планираним изменама прописа из области запошљавања, сагледаће се сврсисходност формалног раздвајања истих од мера АПЗ које подразумевају финансијска средства за лице или послодавца.</w:t>
      </w:r>
    </w:p>
    <w:p>
      <w:pPr>
        <w:pStyle w:val="BodyText"/>
        <w:spacing w:before="121"/>
        <w:ind w:right="715" w:firstLine="719"/>
      </w:pPr>
      <w:r>
        <w:rPr/>
        <w:t>Узимајући у обзир неповољну образовну структуру незапослених лица на евиденцији НСЗ, односно да је трећина без квалификација и нискоквалификована, као и велики број незапослених, углавном младих, без радног искуства, потребно је континуирано унапређивати мере додатног образовања и обука. Обуке за тржиште рада у претходном</w:t>
      </w:r>
      <w:r>
        <w:rPr>
          <w:spacing w:val="-15"/>
        </w:rPr>
        <w:t> </w:t>
      </w:r>
      <w:r>
        <w:rPr/>
        <w:t>периоду</w:t>
      </w:r>
      <w:r>
        <w:rPr>
          <w:spacing w:val="-15"/>
        </w:rPr>
        <w:t> </w:t>
      </w:r>
      <w:r>
        <w:rPr/>
        <w:t>нису</w:t>
      </w:r>
      <w:r>
        <w:rPr>
          <w:spacing w:val="-15"/>
        </w:rPr>
        <w:t> </w:t>
      </w:r>
      <w:r>
        <w:rPr/>
        <w:t>имале</w:t>
      </w:r>
      <w:r>
        <w:rPr>
          <w:spacing w:val="-15"/>
        </w:rPr>
        <w:t> </w:t>
      </w:r>
      <w:r>
        <w:rPr/>
        <w:t>задовољавајуће</w:t>
      </w:r>
      <w:r>
        <w:rPr>
          <w:spacing w:val="-15"/>
        </w:rPr>
        <w:t> </w:t>
      </w:r>
      <w:r>
        <w:rPr/>
        <w:t>ефекте</w:t>
      </w:r>
      <w:r>
        <w:rPr>
          <w:spacing w:val="-15"/>
        </w:rPr>
        <w:t> </w:t>
      </w:r>
      <w:r>
        <w:rPr/>
        <w:t>на</w:t>
      </w:r>
      <w:r>
        <w:rPr>
          <w:spacing w:val="-15"/>
        </w:rPr>
        <w:t> </w:t>
      </w:r>
      <w:r>
        <w:rPr/>
        <w:t>запошљавање,</w:t>
      </w:r>
      <w:r>
        <w:rPr>
          <w:spacing w:val="-15"/>
        </w:rPr>
        <w:t> </w:t>
      </w:r>
      <w:r>
        <w:rPr/>
        <w:t>те</w:t>
      </w:r>
      <w:r>
        <w:rPr>
          <w:spacing w:val="-15"/>
        </w:rPr>
        <w:t> </w:t>
      </w:r>
      <w:r>
        <w:rPr/>
        <w:t>је</w:t>
      </w:r>
      <w:r>
        <w:rPr>
          <w:spacing w:val="-11"/>
        </w:rPr>
        <w:t> </w:t>
      </w:r>
      <w:r>
        <w:rPr/>
        <w:t>у</w:t>
      </w:r>
      <w:r>
        <w:rPr>
          <w:spacing w:val="-15"/>
        </w:rPr>
        <w:t> </w:t>
      </w:r>
      <w:r>
        <w:rPr/>
        <w:t>том</w:t>
      </w:r>
      <w:r>
        <w:rPr>
          <w:spacing w:val="-11"/>
        </w:rPr>
        <w:t> </w:t>
      </w:r>
      <w:r>
        <w:rPr/>
        <w:t>смислу потребно</w:t>
      </w:r>
      <w:r>
        <w:rPr>
          <w:spacing w:val="-15"/>
        </w:rPr>
        <w:t> </w:t>
      </w:r>
      <w:r>
        <w:rPr/>
        <w:t>на</w:t>
      </w:r>
      <w:r>
        <w:rPr>
          <w:spacing w:val="-15"/>
        </w:rPr>
        <w:t> </w:t>
      </w:r>
      <w:r>
        <w:rPr/>
        <w:t>првом</w:t>
      </w:r>
      <w:r>
        <w:rPr>
          <w:spacing w:val="-15"/>
        </w:rPr>
        <w:t> </w:t>
      </w:r>
      <w:r>
        <w:rPr/>
        <w:t>месту</w:t>
      </w:r>
      <w:r>
        <w:rPr>
          <w:spacing w:val="-15"/>
        </w:rPr>
        <w:t> </w:t>
      </w:r>
      <w:r>
        <w:rPr/>
        <w:t>унапредити</w:t>
      </w:r>
      <w:r>
        <w:rPr>
          <w:spacing w:val="-15"/>
        </w:rPr>
        <w:t> </w:t>
      </w:r>
      <w:r>
        <w:rPr/>
        <w:t>спровођење</w:t>
      </w:r>
      <w:r>
        <w:rPr>
          <w:spacing w:val="-15"/>
        </w:rPr>
        <w:t> </w:t>
      </w:r>
      <w:r>
        <w:rPr/>
        <w:t>Анкете</w:t>
      </w:r>
      <w:r>
        <w:rPr>
          <w:spacing w:val="-15"/>
        </w:rPr>
        <w:t> </w:t>
      </w:r>
      <w:r>
        <w:rPr/>
        <w:t>послодаваца,</w:t>
      </w:r>
      <w:r>
        <w:rPr>
          <w:spacing w:val="-15"/>
        </w:rPr>
        <w:t> </w:t>
      </w:r>
      <w:r>
        <w:rPr/>
        <w:t>како</w:t>
      </w:r>
      <w:r>
        <w:rPr>
          <w:spacing w:val="-15"/>
        </w:rPr>
        <w:t> </w:t>
      </w:r>
      <w:r>
        <w:rPr/>
        <w:t>би</w:t>
      </w:r>
      <w:r>
        <w:rPr>
          <w:spacing w:val="-15"/>
        </w:rPr>
        <w:t> </w:t>
      </w:r>
      <w:r>
        <w:rPr/>
        <w:t>се</w:t>
      </w:r>
      <w:r>
        <w:rPr>
          <w:spacing w:val="-15"/>
        </w:rPr>
        <w:t> </w:t>
      </w:r>
      <w:r>
        <w:rPr/>
        <w:t>осигурало да Каталог обука за потребе тржишта рада верно осликава потребна занимања, односно идентификује знања и вештине потребне на тржишту рада. Такође, увођење система ваучера за обуку омогућило би бољу доступност обуке за незапослено лице, које би на обуку</w:t>
      </w:r>
      <w:r>
        <w:rPr>
          <w:spacing w:val="-9"/>
        </w:rPr>
        <w:t> </w:t>
      </w:r>
      <w:r>
        <w:rPr/>
        <w:t>могло</w:t>
      </w:r>
      <w:r>
        <w:rPr>
          <w:spacing w:val="-6"/>
        </w:rPr>
        <w:t> </w:t>
      </w:r>
      <w:r>
        <w:rPr/>
        <w:t>да</w:t>
      </w:r>
      <w:r>
        <w:rPr>
          <w:spacing w:val="-5"/>
        </w:rPr>
        <w:t> </w:t>
      </w:r>
      <w:r>
        <w:rPr/>
        <w:t>се укључи</w:t>
      </w:r>
      <w:r>
        <w:rPr>
          <w:spacing w:val="-5"/>
        </w:rPr>
        <w:t> </w:t>
      </w:r>
      <w:r>
        <w:rPr/>
        <w:t>онда</w:t>
      </w:r>
      <w:r>
        <w:rPr>
          <w:spacing w:val="-7"/>
        </w:rPr>
        <w:t> </w:t>
      </w:r>
      <w:r>
        <w:rPr/>
        <w:t>када</w:t>
      </w:r>
      <w:r>
        <w:rPr>
          <w:spacing w:val="-7"/>
        </w:rPr>
        <w:t> </w:t>
      </w:r>
      <w:r>
        <w:rPr/>
        <w:t>му</w:t>
      </w:r>
      <w:r>
        <w:rPr>
          <w:spacing w:val="-11"/>
        </w:rPr>
        <w:t> </w:t>
      </w:r>
      <w:r>
        <w:rPr/>
        <w:t>је</w:t>
      </w:r>
      <w:r>
        <w:rPr>
          <w:spacing w:val="-7"/>
        </w:rPr>
        <w:t> </w:t>
      </w:r>
      <w:r>
        <w:rPr/>
        <w:t>обука</w:t>
      </w:r>
      <w:r>
        <w:rPr>
          <w:spacing w:val="-7"/>
        </w:rPr>
        <w:t> </w:t>
      </w:r>
      <w:r>
        <w:rPr/>
        <w:t>потребна,</w:t>
      </w:r>
      <w:r>
        <w:rPr>
          <w:spacing w:val="-6"/>
        </w:rPr>
        <w:t> </w:t>
      </w:r>
      <w:r>
        <w:rPr/>
        <w:t>а</w:t>
      </w:r>
      <w:r>
        <w:rPr>
          <w:spacing w:val="-7"/>
        </w:rPr>
        <w:t> </w:t>
      </w:r>
      <w:r>
        <w:rPr/>
        <w:t>не</w:t>
      </w:r>
      <w:r>
        <w:rPr>
          <w:spacing w:val="-7"/>
        </w:rPr>
        <w:t> </w:t>
      </w:r>
      <w:r>
        <w:rPr/>
        <w:t>онда</w:t>
      </w:r>
      <w:r>
        <w:rPr>
          <w:spacing w:val="-7"/>
        </w:rPr>
        <w:t> </w:t>
      </w:r>
      <w:r>
        <w:rPr/>
        <w:t>када</w:t>
      </w:r>
      <w:r>
        <w:rPr>
          <w:spacing w:val="-7"/>
        </w:rPr>
        <w:t> </w:t>
      </w:r>
      <w:r>
        <w:rPr/>
        <w:t>је</w:t>
      </w:r>
      <w:r>
        <w:rPr>
          <w:spacing w:val="-7"/>
        </w:rPr>
        <w:t> </w:t>
      </w:r>
      <w:r>
        <w:rPr/>
        <w:t>обука</w:t>
      </w:r>
      <w:r>
        <w:rPr>
          <w:spacing w:val="-7"/>
        </w:rPr>
        <w:t> </w:t>
      </w:r>
      <w:r>
        <w:rPr/>
        <w:t>доступна, односно</w:t>
      </w:r>
      <w:r>
        <w:rPr>
          <w:spacing w:val="-7"/>
        </w:rPr>
        <w:t> </w:t>
      </w:r>
      <w:r>
        <w:rPr/>
        <w:t>после</w:t>
      </w:r>
      <w:r>
        <w:rPr>
          <w:spacing w:val="-5"/>
        </w:rPr>
        <w:t> </w:t>
      </w:r>
      <w:r>
        <w:rPr/>
        <w:t>спроведене</w:t>
      </w:r>
      <w:r>
        <w:rPr>
          <w:spacing w:val="-5"/>
        </w:rPr>
        <w:t> </w:t>
      </w:r>
      <w:r>
        <w:rPr/>
        <w:t>јавне</w:t>
      </w:r>
      <w:r>
        <w:rPr>
          <w:spacing w:val="-5"/>
        </w:rPr>
        <w:t> </w:t>
      </w:r>
      <w:r>
        <w:rPr/>
        <w:t>набавке</w:t>
      </w:r>
      <w:r>
        <w:rPr>
          <w:spacing w:val="-4"/>
        </w:rPr>
        <w:t> </w:t>
      </w:r>
      <w:r>
        <w:rPr/>
        <w:t>која</w:t>
      </w:r>
      <w:r>
        <w:rPr>
          <w:spacing w:val="-5"/>
        </w:rPr>
        <w:t> </w:t>
      </w:r>
      <w:r>
        <w:rPr/>
        <w:t>се</w:t>
      </w:r>
      <w:r>
        <w:rPr>
          <w:spacing w:val="-5"/>
        </w:rPr>
        <w:t> </w:t>
      </w:r>
      <w:r>
        <w:rPr/>
        <w:t>организује</w:t>
      </w:r>
      <w:r>
        <w:rPr>
          <w:spacing w:val="-5"/>
        </w:rPr>
        <w:t> </w:t>
      </w:r>
      <w:r>
        <w:rPr/>
        <w:t>на</w:t>
      </w:r>
      <w:r>
        <w:rPr>
          <w:spacing w:val="-5"/>
        </w:rPr>
        <w:t> </w:t>
      </w:r>
      <w:r>
        <w:rPr/>
        <w:t>годишњем</w:t>
      </w:r>
      <w:r>
        <w:rPr>
          <w:spacing w:val="-5"/>
        </w:rPr>
        <w:t> </w:t>
      </w:r>
      <w:r>
        <w:rPr/>
        <w:t>нивоу.</w:t>
      </w:r>
      <w:r>
        <w:rPr>
          <w:spacing w:val="-4"/>
        </w:rPr>
        <w:t> </w:t>
      </w:r>
      <w:r>
        <w:rPr/>
        <w:t>Предуслов за увођење система ваучера, као и за даље унапређење обуке за тржиште рада, је јачање система</w:t>
      </w:r>
      <w:r>
        <w:rPr>
          <w:spacing w:val="-4"/>
        </w:rPr>
        <w:t> </w:t>
      </w:r>
      <w:r>
        <w:rPr/>
        <w:t>ЈПОА,</w:t>
      </w:r>
      <w:r>
        <w:rPr>
          <w:spacing w:val="-2"/>
        </w:rPr>
        <w:t> </w:t>
      </w:r>
      <w:r>
        <w:rPr/>
        <w:t>што</w:t>
      </w:r>
      <w:r>
        <w:rPr>
          <w:spacing w:val="-3"/>
        </w:rPr>
        <w:t> </w:t>
      </w:r>
      <w:r>
        <w:rPr/>
        <w:t>подразумева</w:t>
      </w:r>
      <w:r>
        <w:rPr>
          <w:spacing w:val="-3"/>
        </w:rPr>
        <w:t> </w:t>
      </w:r>
      <w:r>
        <w:rPr/>
        <w:t>већи</w:t>
      </w:r>
      <w:r>
        <w:rPr>
          <w:spacing w:val="-3"/>
        </w:rPr>
        <w:t> </w:t>
      </w:r>
      <w:r>
        <w:rPr/>
        <w:t>број</w:t>
      </w:r>
      <w:r>
        <w:rPr>
          <w:spacing w:val="-3"/>
        </w:rPr>
        <w:t> </w:t>
      </w:r>
      <w:r>
        <w:rPr/>
        <w:t>ЈПОА</w:t>
      </w:r>
      <w:r>
        <w:rPr>
          <w:spacing w:val="-4"/>
        </w:rPr>
        <w:t> </w:t>
      </w:r>
      <w:r>
        <w:rPr/>
        <w:t>са</w:t>
      </w:r>
      <w:r>
        <w:rPr>
          <w:spacing w:val="-2"/>
        </w:rPr>
        <w:t> </w:t>
      </w:r>
      <w:r>
        <w:rPr/>
        <w:t>већим</w:t>
      </w:r>
      <w:r>
        <w:rPr>
          <w:spacing w:val="-2"/>
        </w:rPr>
        <w:t> </w:t>
      </w:r>
      <w:r>
        <w:rPr/>
        <w:t>бројем</w:t>
      </w:r>
      <w:r>
        <w:rPr>
          <w:spacing w:val="-2"/>
        </w:rPr>
        <w:t> </w:t>
      </w:r>
      <w:r>
        <w:rPr/>
        <w:t>акредитованих</w:t>
      </w:r>
      <w:r>
        <w:rPr>
          <w:spacing w:val="-1"/>
        </w:rPr>
        <w:t> </w:t>
      </w:r>
      <w:r>
        <w:rPr/>
        <w:t>програма обука које су доступне на целој територији Републике Србије. На овај начин, поред боље доступности,</w:t>
      </w:r>
      <w:r>
        <w:rPr>
          <w:spacing w:val="-6"/>
        </w:rPr>
        <w:t> </w:t>
      </w:r>
      <w:r>
        <w:rPr/>
        <w:t>обезбедио</w:t>
      </w:r>
      <w:r>
        <w:rPr>
          <w:spacing w:val="-8"/>
        </w:rPr>
        <w:t> </w:t>
      </w:r>
      <w:r>
        <w:rPr/>
        <w:t>би</w:t>
      </w:r>
      <w:r>
        <w:rPr>
          <w:spacing w:val="-7"/>
        </w:rPr>
        <w:t> </w:t>
      </w:r>
      <w:r>
        <w:rPr/>
        <w:t>се</w:t>
      </w:r>
      <w:r>
        <w:rPr>
          <w:spacing w:val="-7"/>
        </w:rPr>
        <w:t> </w:t>
      </w:r>
      <w:r>
        <w:rPr/>
        <w:t>и</w:t>
      </w:r>
      <w:r>
        <w:rPr>
          <w:spacing w:val="-7"/>
        </w:rPr>
        <w:t> </w:t>
      </w:r>
      <w:r>
        <w:rPr/>
        <w:t>потребан</w:t>
      </w:r>
      <w:r>
        <w:rPr>
          <w:spacing w:val="-7"/>
        </w:rPr>
        <w:t> </w:t>
      </w:r>
      <w:r>
        <w:rPr/>
        <w:t>ниво</w:t>
      </w:r>
      <w:r>
        <w:rPr>
          <w:spacing w:val="-9"/>
        </w:rPr>
        <w:t> </w:t>
      </w:r>
      <w:r>
        <w:rPr/>
        <w:t>квалитета</w:t>
      </w:r>
      <w:r>
        <w:rPr>
          <w:spacing w:val="-6"/>
        </w:rPr>
        <w:t> </w:t>
      </w:r>
      <w:r>
        <w:rPr/>
        <w:t>обуке,</w:t>
      </w:r>
      <w:r>
        <w:rPr>
          <w:spacing w:val="-6"/>
        </w:rPr>
        <w:t> </w:t>
      </w:r>
      <w:r>
        <w:rPr/>
        <w:t>што</w:t>
      </w:r>
      <w:r>
        <w:rPr>
          <w:spacing w:val="-5"/>
        </w:rPr>
        <w:t> </w:t>
      </w:r>
      <w:r>
        <w:rPr/>
        <w:t>би</w:t>
      </w:r>
      <w:r>
        <w:rPr>
          <w:spacing w:val="-5"/>
        </w:rPr>
        <w:t> </w:t>
      </w:r>
      <w:r>
        <w:rPr/>
        <w:t>резултирало</w:t>
      </w:r>
      <w:r>
        <w:rPr>
          <w:spacing w:val="-6"/>
        </w:rPr>
        <w:t> </w:t>
      </w:r>
      <w:r>
        <w:rPr/>
        <w:t>бољим ефектима на запошљавање. За незапослене који не могу да се запосле без одговарајућег радног</w:t>
      </w:r>
      <w:r>
        <w:rPr>
          <w:spacing w:val="-11"/>
        </w:rPr>
        <w:t> </w:t>
      </w:r>
      <w:r>
        <w:rPr/>
        <w:t>искуства,</w:t>
      </w:r>
      <w:r>
        <w:rPr>
          <w:spacing w:val="-9"/>
        </w:rPr>
        <w:t> </w:t>
      </w:r>
      <w:r>
        <w:rPr/>
        <w:t>потребно</w:t>
      </w:r>
      <w:r>
        <w:rPr>
          <w:spacing w:val="-11"/>
        </w:rPr>
        <w:t> </w:t>
      </w:r>
      <w:r>
        <w:rPr/>
        <w:t>је</w:t>
      </w:r>
      <w:r>
        <w:rPr>
          <w:spacing w:val="-11"/>
        </w:rPr>
        <w:t> </w:t>
      </w:r>
      <w:r>
        <w:rPr/>
        <w:t>омогућити</w:t>
      </w:r>
      <w:r>
        <w:rPr>
          <w:spacing w:val="-9"/>
        </w:rPr>
        <w:t> </w:t>
      </w:r>
      <w:r>
        <w:rPr/>
        <w:t>стицање</w:t>
      </w:r>
      <w:r>
        <w:rPr>
          <w:spacing w:val="-12"/>
        </w:rPr>
        <w:t> </w:t>
      </w:r>
      <w:r>
        <w:rPr/>
        <w:t>истог</w:t>
      </w:r>
      <w:r>
        <w:rPr>
          <w:spacing w:val="-2"/>
        </w:rPr>
        <w:t> </w:t>
      </w:r>
      <w:r>
        <w:rPr/>
        <w:t>укључивањем</w:t>
      </w:r>
      <w:r>
        <w:rPr>
          <w:spacing w:val="-9"/>
        </w:rPr>
        <w:t> </w:t>
      </w:r>
      <w:r>
        <w:rPr/>
        <w:t>у</w:t>
      </w:r>
      <w:r>
        <w:rPr>
          <w:spacing w:val="-13"/>
        </w:rPr>
        <w:t> </w:t>
      </w:r>
      <w:r>
        <w:rPr/>
        <w:t>различите</w:t>
      </w:r>
      <w:r>
        <w:rPr>
          <w:spacing w:val="-11"/>
        </w:rPr>
        <w:t> </w:t>
      </w:r>
      <w:r>
        <w:rPr/>
        <w:t>програме пракси. Поред стручне праксе и приправничких програма, у</w:t>
      </w:r>
      <w:r>
        <w:rPr>
          <w:spacing w:val="-1"/>
        </w:rPr>
        <w:t> </w:t>
      </w:r>
      <w:r>
        <w:rPr/>
        <w:t>наредном периоду</w:t>
      </w:r>
      <w:r>
        <w:rPr>
          <w:spacing w:val="-4"/>
        </w:rPr>
        <w:t> </w:t>
      </w:r>
      <w:r>
        <w:rPr/>
        <w:t>би требало креирати и програме радних пракси, које могу, али не морају бити у директној вези са претходним формалним образовањем учесника. За оваквим програмима постоји велика заинтересованост</w:t>
      </w:r>
      <w:r>
        <w:rPr>
          <w:spacing w:val="-1"/>
        </w:rPr>
        <w:t> </w:t>
      </w:r>
      <w:r>
        <w:rPr/>
        <w:t>и потреба</w:t>
      </w:r>
      <w:r>
        <w:rPr>
          <w:spacing w:val="-2"/>
        </w:rPr>
        <w:t> </w:t>
      </w:r>
      <w:r>
        <w:rPr/>
        <w:t>код</w:t>
      </w:r>
      <w:r>
        <w:rPr>
          <w:spacing w:val="-1"/>
        </w:rPr>
        <w:t> </w:t>
      </w:r>
      <w:r>
        <w:rPr/>
        <w:t>младих,</w:t>
      </w:r>
      <w:r>
        <w:rPr>
          <w:spacing w:val="-4"/>
        </w:rPr>
        <w:t> </w:t>
      </w:r>
      <w:r>
        <w:rPr/>
        <w:t>јер</w:t>
      </w:r>
      <w:r>
        <w:rPr>
          <w:spacing w:val="-2"/>
        </w:rPr>
        <w:t> </w:t>
      </w:r>
      <w:r>
        <w:rPr/>
        <w:t>оне</w:t>
      </w:r>
      <w:r>
        <w:rPr>
          <w:spacing w:val="-2"/>
        </w:rPr>
        <w:t> </w:t>
      </w:r>
      <w:r>
        <w:rPr/>
        <w:t>доприносе унапређивању</w:t>
      </w:r>
      <w:r>
        <w:rPr>
          <w:spacing w:val="-9"/>
        </w:rPr>
        <w:t> </w:t>
      </w:r>
      <w:r>
        <w:rPr/>
        <w:t>запошљивости и транзицији</w:t>
      </w:r>
      <w:r>
        <w:rPr>
          <w:spacing w:val="-15"/>
        </w:rPr>
        <w:t> </w:t>
      </w:r>
      <w:r>
        <w:rPr/>
        <w:t>на</w:t>
      </w:r>
      <w:r>
        <w:rPr>
          <w:spacing w:val="-15"/>
        </w:rPr>
        <w:t> </w:t>
      </w:r>
      <w:r>
        <w:rPr/>
        <w:t>тржиште</w:t>
      </w:r>
      <w:r>
        <w:rPr>
          <w:spacing w:val="-15"/>
        </w:rPr>
        <w:t> </w:t>
      </w:r>
      <w:r>
        <w:rPr/>
        <w:t>рада</w:t>
      </w:r>
      <w:r>
        <w:rPr>
          <w:spacing w:val="-15"/>
        </w:rPr>
        <w:t> </w:t>
      </w:r>
      <w:r>
        <w:rPr/>
        <w:t>кроз</w:t>
      </w:r>
      <w:r>
        <w:rPr>
          <w:spacing w:val="-15"/>
        </w:rPr>
        <w:t> </w:t>
      </w:r>
      <w:r>
        <w:rPr/>
        <w:t>стицање</w:t>
      </w:r>
      <w:r>
        <w:rPr>
          <w:spacing w:val="-15"/>
        </w:rPr>
        <w:t> </w:t>
      </w:r>
      <w:r>
        <w:rPr/>
        <w:t>радног</w:t>
      </w:r>
      <w:r>
        <w:rPr>
          <w:spacing w:val="-15"/>
        </w:rPr>
        <w:t> </w:t>
      </w:r>
      <w:r>
        <w:rPr/>
        <w:t>искуства</w:t>
      </w:r>
      <w:r>
        <w:rPr>
          <w:spacing w:val="-15"/>
        </w:rPr>
        <w:t> </w:t>
      </w:r>
      <w:r>
        <w:rPr/>
        <w:t>и</w:t>
      </w:r>
      <w:r>
        <w:rPr>
          <w:spacing w:val="-15"/>
        </w:rPr>
        <w:t> </w:t>
      </w:r>
      <w:r>
        <w:rPr/>
        <w:t>развоју</w:t>
      </w:r>
      <w:r>
        <w:rPr>
          <w:spacing w:val="-15"/>
        </w:rPr>
        <w:t> </w:t>
      </w:r>
      <w:r>
        <w:rPr/>
        <w:t>општих</w:t>
      </w:r>
      <w:r>
        <w:rPr>
          <w:spacing w:val="-15"/>
        </w:rPr>
        <w:t> </w:t>
      </w:r>
      <w:r>
        <w:rPr/>
        <w:t>и</w:t>
      </w:r>
      <w:r>
        <w:rPr>
          <w:spacing w:val="-15"/>
        </w:rPr>
        <w:t> </w:t>
      </w:r>
      <w:r>
        <w:rPr/>
        <w:t>специфичних компетенција</w:t>
      </w:r>
      <w:r>
        <w:rPr>
          <w:spacing w:val="-9"/>
        </w:rPr>
        <w:t> </w:t>
      </w:r>
      <w:r>
        <w:rPr/>
        <w:t>које</w:t>
      </w:r>
      <w:r>
        <w:rPr>
          <w:spacing w:val="-9"/>
        </w:rPr>
        <w:t> </w:t>
      </w:r>
      <w:r>
        <w:rPr/>
        <w:t>се</w:t>
      </w:r>
      <w:r>
        <w:rPr>
          <w:spacing w:val="-9"/>
        </w:rPr>
        <w:t> </w:t>
      </w:r>
      <w:r>
        <w:rPr/>
        <w:t>могу</w:t>
      </w:r>
      <w:r>
        <w:rPr>
          <w:spacing w:val="-13"/>
        </w:rPr>
        <w:t> </w:t>
      </w:r>
      <w:r>
        <w:rPr/>
        <w:t>стећи</w:t>
      </w:r>
      <w:r>
        <w:rPr>
          <w:spacing w:val="-8"/>
        </w:rPr>
        <w:t> </w:t>
      </w:r>
      <w:r>
        <w:rPr/>
        <w:t>и</w:t>
      </w:r>
      <w:r>
        <w:rPr>
          <w:spacing w:val="-5"/>
        </w:rPr>
        <w:t> </w:t>
      </w:r>
      <w:r>
        <w:rPr/>
        <w:t>усавршити</w:t>
      </w:r>
      <w:r>
        <w:rPr>
          <w:spacing w:val="-7"/>
        </w:rPr>
        <w:t> </w:t>
      </w:r>
      <w:r>
        <w:rPr/>
        <w:t>само</w:t>
      </w:r>
      <w:r>
        <w:rPr>
          <w:spacing w:val="-6"/>
        </w:rPr>
        <w:t> </w:t>
      </w:r>
      <w:r>
        <w:rPr/>
        <w:t>у</w:t>
      </w:r>
      <w:r>
        <w:rPr>
          <w:spacing w:val="-13"/>
        </w:rPr>
        <w:t> </w:t>
      </w:r>
      <w:r>
        <w:rPr/>
        <w:t>радном</w:t>
      </w:r>
      <w:r>
        <w:rPr>
          <w:spacing w:val="-9"/>
        </w:rPr>
        <w:t> </w:t>
      </w:r>
      <w:r>
        <w:rPr/>
        <w:t>окружењу.</w:t>
      </w:r>
      <w:r>
        <w:rPr>
          <w:spacing w:val="-8"/>
        </w:rPr>
        <w:t> </w:t>
      </w:r>
      <w:r>
        <w:rPr/>
        <w:t>Такође,</w:t>
      </w:r>
      <w:r>
        <w:rPr>
          <w:spacing w:val="-8"/>
        </w:rPr>
        <w:t> </w:t>
      </w:r>
      <w:r>
        <w:rPr/>
        <w:t>секундарна добит од похађања радних пракси јесте истраживање могућих опција за развој каријере, упознавање са процесом селекције и умрежавање, тј. ширење мреже пословних контаката.</w:t>
      </w:r>
    </w:p>
    <w:p>
      <w:pPr>
        <w:pStyle w:val="BodyText"/>
        <w:spacing w:before="122"/>
        <w:ind w:right="719" w:firstLine="719"/>
      </w:pPr>
      <w:r>
        <w:rPr/>
        <w:t>Меру</w:t>
      </w:r>
      <w:r>
        <w:rPr>
          <w:spacing w:val="-15"/>
        </w:rPr>
        <w:t> </w:t>
      </w:r>
      <w:r>
        <w:rPr/>
        <w:t>јавни</w:t>
      </w:r>
      <w:r>
        <w:rPr>
          <w:spacing w:val="-14"/>
        </w:rPr>
        <w:t> </w:t>
      </w:r>
      <w:r>
        <w:rPr/>
        <w:t>радови</w:t>
      </w:r>
      <w:r>
        <w:rPr>
          <w:spacing w:val="-11"/>
        </w:rPr>
        <w:t> </w:t>
      </w:r>
      <w:r>
        <w:rPr/>
        <w:t>је</w:t>
      </w:r>
      <w:r>
        <w:rPr>
          <w:spacing w:val="-10"/>
        </w:rPr>
        <w:t> </w:t>
      </w:r>
      <w:r>
        <w:rPr/>
        <w:t>потребно</w:t>
      </w:r>
      <w:r>
        <w:rPr>
          <w:spacing w:val="-12"/>
        </w:rPr>
        <w:t> </w:t>
      </w:r>
      <w:r>
        <w:rPr/>
        <w:t>развијати</w:t>
      </w:r>
      <w:r>
        <w:rPr>
          <w:spacing w:val="-9"/>
        </w:rPr>
        <w:t> </w:t>
      </w:r>
      <w:r>
        <w:rPr/>
        <w:t>у</w:t>
      </w:r>
      <w:r>
        <w:rPr>
          <w:spacing w:val="-15"/>
        </w:rPr>
        <w:t> </w:t>
      </w:r>
      <w:r>
        <w:rPr/>
        <w:t>правцу</w:t>
      </w:r>
      <w:r>
        <w:rPr>
          <w:spacing w:val="-15"/>
        </w:rPr>
        <w:t> </w:t>
      </w:r>
      <w:r>
        <w:rPr/>
        <w:t>јачања</w:t>
      </w:r>
      <w:r>
        <w:rPr>
          <w:spacing w:val="-9"/>
        </w:rPr>
        <w:t> </w:t>
      </w:r>
      <w:r>
        <w:rPr/>
        <w:t>њеног</w:t>
      </w:r>
      <w:r>
        <w:rPr>
          <w:spacing w:val="-8"/>
        </w:rPr>
        <w:t> </w:t>
      </w:r>
      <w:r>
        <w:rPr/>
        <w:t>утицаја</w:t>
      </w:r>
      <w:r>
        <w:rPr>
          <w:spacing w:val="-13"/>
        </w:rPr>
        <w:t> </w:t>
      </w:r>
      <w:r>
        <w:rPr/>
        <w:t>на</w:t>
      </w:r>
      <w:r>
        <w:rPr>
          <w:spacing w:val="-13"/>
        </w:rPr>
        <w:t> </w:t>
      </w:r>
      <w:r>
        <w:rPr/>
        <w:t>повећање запошљивости у односу на социјалну димензију која је у мери доминантна, а један од начина јесте да обука полазника постане обавезни саставни део јавних радова.</w:t>
      </w:r>
    </w:p>
    <w:p>
      <w:pPr>
        <w:pStyle w:val="BodyText"/>
        <w:spacing w:before="120"/>
        <w:ind w:right="716" w:firstLine="719"/>
      </w:pPr>
      <w:r>
        <w:rPr/>
        <w:t>Субвенције за запошљавање незапослених лица из категорија теже запошљивих потребно је усмеравати управо ка запошљавању најтеже запошљивих категорија незапослених, а субвенционисано запошљавање треба размотрити и као инструмент за подстицања покретљивости на тржишту</w:t>
      </w:r>
      <w:r>
        <w:rPr>
          <w:spacing w:val="-4"/>
        </w:rPr>
        <w:t> </w:t>
      </w:r>
      <w:r>
        <w:rPr/>
        <w:t>рада, када би се субвенција додељивала лицу</w:t>
      </w:r>
      <w:r>
        <w:rPr>
          <w:spacing w:val="-4"/>
        </w:rPr>
        <w:t> </w:t>
      </w:r>
      <w:r>
        <w:rPr/>
        <w:t>које</w:t>
      </w:r>
    </w:p>
    <w:p>
      <w:pPr>
        <w:pStyle w:val="BodyText"/>
        <w:spacing w:after="0"/>
        <w:sectPr>
          <w:pgSz w:w="12240" w:h="15840"/>
          <w:pgMar w:header="0" w:footer="702" w:top="1360" w:bottom="900" w:left="1080" w:right="720"/>
        </w:sectPr>
      </w:pPr>
    </w:p>
    <w:p>
      <w:pPr>
        <w:pStyle w:val="BodyText"/>
        <w:spacing w:before="72"/>
        <w:ind w:right="726"/>
      </w:pPr>
      <w:r>
        <w:rPr/>
        <w:t>ради запослења мења</w:t>
      </w:r>
      <w:r>
        <w:rPr>
          <w:spacing w:val="-2"/>
        </w:rPr>
        <w:t> </w:t>
      </w:r>
      <w:r>
        <w:rPr/>
        <w:t>место</w:t>
      </w:r>
      <w:r>
        <w:rPr>
          <w:spacing w:val="-1"/>
        </w:rPr>
        <w:t> </w:t>
      </w:r>
      <w:r>
        <w:rPr/>
        <w:t>пребивалишта</w:t>
      </w:r>
      <w:r>
        <w:rPr>
          <w:spacing w:val="-2"/>
        </w:rPr>
        <w:t> </w:t>
      </w:r>
      <w:r>
        <w:rPr/>
        <w:t>и запошљава</w:t>
      </w:r>
      <w:r>
        <w:rPr>
          <w:spacing w:val="-3"/>
        </w:rPr>
        <w:t> </w:t>
      </w:r>
      <w:r>
        <w:rPr/>
        <w:t>се код</w:t>
      </w:r>
      <w:r>
        <w:rPr>
          <w:spacing w:val="-1"/>
        </w:rPr>
        <w:t> </w:t>
      </w:r>
      <w:r>
        <w:rPr/>
        <w:t>послодавца</w:t>
      </w:r>
      <w:r>
        <w:rPr>
          <w:spacing w:val="-2"/>
        </w:rPr>
        <w:t> </w:t>
      </w:r>
      <w:r>
        <w:rPr/>
        <w:t>који потребу</w:t>
      </w:r>
      <w:r>
        <w:rPr>
          <w:spacing w:val="-5"/>
        </w:rPr>
        <w:t> </w:t>
      </w:r>
      <w:r>
        <w:rPr/>
        <w:t>за радником не може да задовољи на локалном тржишту.</w:t>
      </w:r>
    </w:p>
    <w:p>
      <w:pPr>
        <w:pStyle w:val="BodyText"/>
        <w:spacing w:before="120"/>
        <w:ind w:right="712" w:firstLine="719"/>
      </w:pPr>
      <w:r>
        <w:rPr/>
        <w:t>У наредном периоду треба радити на досезању до лица која нису пријављена на евиденцију незапослених (енгл. outreach), а која без институционалне подршке немају могућности да се интегришу на тржиште рада. Ради се о лицима која нису довољно информисана о предностима институционалне подршке, али која су врло често и обесхрабрена претходним неуспешним покушајима да се запосле. Каравани за запошљавање су услуга коју је НСЗ спроводила у претходном периоду и која је показала потенцијал</w:t>
      </w:r>
      <w:r>
        <w:rPr>
          <w:spacing w:val="-11"/>
        </w:rPr>
        <w:t> </w:t>
      </w:r>
      <w:r>
        <w:rPr/>
        <w:t>за</w:t>
      </w:r>
      <w:r>
        <w:rPr>
          <w:spacing w:val="-9"/>
        </w:rPr>
        <w:t> </w:t>
      </w:r>
      <w:r>
        <w:rPr/>
        <w:t>даљи</w:t>
      </w:r>
      <w:r>
        <w:rPr>
          <w:spacing w:val="-10"/>
        </w:rPr>
        <w:t> </w:t>
      </w:r>
      <w:r>
        <w:rPr/>
        <w:t>развој.</w:t>
      </w:r>
      <w:r>
        <w:rPr>
          <w:spacing w:val="-8"/>
        </w:rPr>
        <w:t> </w:t>
      </w:r>
      <w:r>
        <w:rPr/>
        <w:t>Укључивање</w:t>
      </w:r>
      <w:r>
        <w:rPr>
          <w:spacing w:val="-9"/>
        </w:rPr>
        <w:t> </w:t>
      </w:r>
      <w:r>
        <w:rPr/>
        <w:t>организација</w:t>
      </w:r>
      <w:r>
        <w:rPr>
          <w:spacing w:val="-9"/>
        </w:rPr>
        <w:t> </w:t>
      </w:r>
      <w:r>
        <w:rPr/>
        <w:t>цивилног</w:t>
      </w:r>
      <w:r>
        <w:rPr>
          <w:spacing w:val="-8"/>
        </w:rPr>
        <w:t> </w:t>
      </w:r>
      <w:r>
        <w:rPr/>
        <w:t>друштва</w:t>
      </w:r>
      <w:r>
        <w:rPr>
          <w:spacing w:val="-7"/>
        </w:rPr>
        <w:t> </w:t>
      </w:r>
      <w:r>
        <w:rPr/>
        <w:t>у</w:t>
      </w:r>
      <w:r>
        <w:rPr>
          <w:spacing w:val="-15"/>
        </w:rPr>
        <w:t> </w:t>
      </w:r>
      <w:r>
        <w:rPr/>
        <w:t>процес</w:t>
      </w:r>
      <w:r>
        <w:rPr>
          <w:spacing w:val="-9"/>
        </w:rPr>
        <w:t> </w:t>
      </w:r>
      <w:r>
        <w:rPr/>
        <w:t>досезања и мотивисања припадника вишеструко рањивих лица да се пријаве на евиденцију </w:t>
      </w:r>
      <w:r>
        <w:rPr>
          <w:spacing w:val="-2"/>
        </w:rPr>
        <w:t>незапослених,</w:t>
      </w:r>
      <w:r>
        <w:rPr>
          <w:spacing w:val="-5"/>
        </w:rPr>
        <w:t> </w:t>
      </w:r>
      <w:r>
        <w:rPr>
          <w:spacing w:val="-2"/>
        </w:rPr>
        <w:t>допринело</w:t>
      </w:r>
      <w:r>
        <w:rPr>
          <w:spacing w:val="-5"/>
        </w:rPr>
        <w:t> </w:t>
      </w:r>
      <w:r>
        <w:rPr>
          <w:spacing w:val="-2"/>
        </w:rPr>
        <w:t>би</w:t>
      </w:r>
      <w:r>
        <w:rPr>
          <w:spacing w:val="-3"/>
        </w:rPr>
        <w:t> </w:t>
      </w:r>
      <w:r>
        <w:rPr>
          <w:spacing w:val="-2"/>
        </w:rPr>
        <w:t>реализацији</w:t>
      </w:r>
      <w:r>
        <w:rPr>
          <w:spacing w:val="-3"/>
        </w:rPr>
        <w:t> </w:t>
      </w:r>
      <w:r>
        <w:rPr>
          <w:spacing w:val="-2"/>
        </w:rPr>
        <w:t>овакве</w:t>
      </w:r>
      <w:r>
        <w:rPr>
          <w:spacing w:val="-6"/>
        </w:rPr>
        <w:t> </w:t>
      </w:r>
      <w:r>
        <w:rPr>
          <w:spacing w:val="-2"/>
        </w:rPr>
        <w:t>мере,</w:t>
      </w:r>
      <w:r>
        <w:rPr>
          <w:spacing w:val="-5"/>
        </w:rPr>
        <w:t> </w:t>
      </w:r>
      <w:r>
        <w:rPr>
          <w:spacing w:val="-2"/>
        </w:rPr>
        <w:t>јер</w:t>
      </w:r>
      <w:r>
        <w:rPr>
          <w:spacing w:val="-5"/>
        </w:rPr>
        <w:t> </w:t>
      </w:r>
      <w:r>
        <w:rPr>
          <w:spacing w:val="-2"/>
        </w:rPr>
        <w:t>ОЦД</w:t>
      </w:r>
      <w:r>
        <w:rPr>
          <w:spacing w:val="-5"/>
        </w:rPr>
        <w:t> </w:t>
      </w:r>
      <w:r>
        <w:rPr>
          <w:spacing w:val="-2"/>
        </w:rPr>
        <w:t>имају</w:t>
      </w:r>
      <w:r>
        <w:rPr>
          <w:spacing w:val="-11"/>
        </w:rPr>
        <w:t> </w:t>
      </w:r>
      <w:r>
        <w:rPr>
          <w:spacing w:val="-2"/>
        </w:rPr>
        <w:t>олакшан</w:t>
      </w:r>
      <w:r>
        <w:rPr>
          <w:spacing w:val="-3"/>
        </w:rPr>
        <w:t> </w:t>
      </w:r>
      <w:r>
        <w:rPr>
          <w:spacing w:val="-2"/>
        </w:rPr>
        <w:t>приступ</w:t>
      </w:r>
      <w:r>
        <w:rPr>
          <w:spacing w:val="-3"/>
        </w:rPr>
        <w:t> </w:t>
      </w:r>
      <w:r>
        <w:rPr>
          <w:spacing w:val="-2"/>
        </w:rPr>
        <w:t>овим </w:t>
      </w:r>
      <w:r>
        <w:rPr/>
        <w:t>категоријама са којима свакодневно остварују контакт.</w:t>
      </w:r>
    </w:p>
    <w:p>
      <w:pPr>
        <w:pStyle w:val="BodyText"/>
        <w:spacing w:before="121"/>
        <w:ind w:right="718" w:firstLine="719"/>
      </w:pPr>
      <w:r>
        <w:rPr/>
        <w:t>За трајније извлачење припадника најдубље рањивих група, укључујући лица у дугорочној и веома дугој незапослености, из спирале у којој се смењују периоди лоше плаћених и несигурних, некад и субвенционисаних послова и периоди продужене незапослености, неопходно је да они буду</w:t>
      </w:r>
      <w:r>
        <w:rPr>
          <w:spacing w:val="-4"/>
        </w:rPr>
        <w:t> </w:t>
      </w:r>
      <w:r>
        <w:rPr/>
        <w:t>подржани током дужег периода широм лепезом сукцесивних или паралелних услуга и мера. Наведено имплицира неопходност повећаног улагања у АПЗ – како у финансијске мере, тако и кроз повећање броја саветника за запошљавање у НСЗ и подизање њихових стручних компетенција.</w:t>
      </w:r>
    </w:p>
    <w:p>
      <w:pPr>
        <w:pStyle w:val="BodyText"/>
        <w:spacing w:before="177"/>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50"/>
      </w:tblGrid>
      <w:tr>
        <w:trPr>
          <w:trHeight w:val="265" w:hRule="atLeast"/>
        </w:trPr>
        <w:tc>
          <w:tcPr>
            <w:tcW w:w="1956" w:type="dxa"/>
          </w:tcPr>
          <w:p>
            <w:pPr>
              <w:pStyle w:val="TableParagraph"/>
              <w:spacing w:line="246" w:lineRule="exact"/>
              <w:ind w:left="50"/>
              <w:rPr>
                <w:i/>
                <w:sz w:val="24"/>
              </w:rPr>
            </w:pPr>
            <w:r>
              <w:rPr>
                <w:i/>
                <w:sz w:val="24"/>
              </w:rPr>
              <w:t>Врста/тип</w:t>
            </w:r>
            <w:r>
              <w:rPr>
                <w:i/>
                <w:spacing w:val="-2"/>
                <w:sz w:val="24"/>
              </w:rPr>
              <w:t> </w:t>
            </w:r>
            <w:r>
              <w:rPr>
                <w:i/>
                <w:spacing w:val="-4"/>
                <w:sz w:val="24"/>
              </w:rPr>
              <w:t>мере</w:t>
            </w:r>
          </w:p>
        </w:tc>
        <w:tc>
          <w:tcPr>
            <w:tcW w:w="7250" w:type="dxa"/>
          </w:tcPr>
          <w:p>
            <w:pPr>
              <w:pStyle w:val="TableParagraph"/>
              <w:spacing w:line="246" w:lineRule="exact"/>
              <w:ind w:left="215"/>
              <w:rPr>
                <w:sz w:val="24"/>
              </w:rPr>
            </w:pPr>
            <w:r>
              <w:rPr>
                <w:sz w:val="24"/>
              </w:rPr>
              <w:t>Комбинована:</w:t>
            </w:r>
            <w:r>
              <w:rPr>
                <w:spacing w:val="-8"/>
                <w:sz w:val="24"/>
              </w:rPr>
              <w:t> </w:t>
            </w:r>
            <w:r>
              <w:rPr>
                <w:sz w:val="24"/>
              </w:rPr>
              <w:t>регулаторна;</w:t>
            </w:r>
            <w:r>
              <w:rPr>
                <w:spacing w:val="-4"/>
                <w:sz w:val="24"/>
              </w:rPr>
              <w:t> </w:t>
            </w:r>
            <w:r>
              <w:rPr>
                <w:sz w:val="24"/>
              </w:rPr>
              <w:t>информативно</w:t>
            </w:r>
            <w:r>
              <w:rPr>
                <w:spacing w:val="-6"/>
                <w:sz w:val="24"/>
              </w:rPr>
              <w:t> </w:t>
            </w:r>
            <w:r>
              <w:rPr>
                <w:sz w:val="24"/>
              </w:rPr>
              <w:t>едукативна;</w:t>
            </w:r>
            <w:r>
              <w:rPr>
                <w:spacing w:val="-3"/>
                <w:sz w:val="24"/>
              </w:rPr>
              <w:t> </w:t>
            </w:r>
            <w:r>
              <w:rPr>
                <w:spacing w:val="-2"/>
                <w:sz w:val="24"/>
              </w:rPr>
              <w:t>подстицајна</w:t>
            </w:r>
          </w:p>
        </w:tc>
      </w:tr>
    </w:tbl>
    <w:p>
      <w:pPr>
        <w:pStyle w:val="BodyText"/>
        <w:spacing w:before="248"/>
        <w:ind w:left="0"/>
        <w:jc w:val="left"/>
      </w:pPr>
    </w:p>
    <w:p>
      <w:pPr>
        <w:pStyle w:val="Heading2"/>
      </w:pPr>
      <w:r>
        <w:rPr/>
        <w:t>Мера</w:t>
      </w:r>
      <w:r>
        <w:rPr>
          <w:spacing w:val="-5"/>
        </w:rPr>
        <w:t> </w:t>
      </w:r>
      <w:r>
        <w:rPr/>
        <w:t>2.2.</w:t>
      </w:r>
      <w:r>
        <w:rPr>
          <w:spacing w:val="-2"/>
        </w:rPr>
        <w:t> </w:t>
      </w:r>
      <w:r>
        <w:rPr/>
        <w:t>-</w:t>
      </w:r>
      <w:r>
        <w:rPr>
          <w:spacing w:val="-3"/>
        </w:rPr>
        <w:t> </w:t>
      </w:r>
      <w:r>
        <w:rPr/>
        <w:t>Унапређење</w:t>
      </w:r>
      <w:r>
        <w:rPr>
          <w:spacing w:val="-3"/>
        </w:rPr>
        <w:t> </w:t>
      </w:r>
      <w:r>
        <w:rPr/>
        <w:t>спровођења</w:t>
      </w:r>
      <w:r>
        <w:rPr>
          <w:spacing w:val="-2"/>
        </w:rPr>
        <w:t> </w:t>
      </w:r>
      <w:r>
        <w:rPr/>
        <w:t>мера</w:t>
      </w:r>
      <w:r>
        <w:rPr>
          <w:spacing w:val="-2"/>
        </w:rPr>
        <w:t> </w:t>
      </w:r>
      <w:r>
        <w:rPr>
          <w:spacing w:val="-5"/>
        </w:rPr>
        <w:t>АПЗ</w:t>
      </w:r>
    </w:p>
    <w:p>
      <w:pPr>
        <w:pStyle w:val="BodyText"/>
        <w:spacing w:before="36"/>
        <w:ind w:left="0"/>
        <w:jc w:val="left"/>
        <w:rPr>
          <w:b/>
        </w:rPr>
      </w:pPr>
    </w:p>
    <w:p>
      <w:pPr>
        <w:pStyle w:val="BodyText"/>
        <w:ind w:right="713" w:firstLine="719"/>
      </w:pPr>
      <w:r>
        <w:rPr/>
        <w:t>Мере АПЗ усмерене су на теже запошљиве категорије незапослених лица на тржишту</w:t>
      </w:r>
      <w:r>
        <w:rPr>
          <w:spacing w:val="-11"/>
        </w:rPr>
        <w:t> </w:t>
      </w:r>
      <w:r>
        <w:rPr/>
        <w:t>рада.</w:t>
      </w:r>
      <w:r>
        <w:rPr>
          <w:spacing w:val="-4"/>
        </w:rPr>
        <w:t> </w:t>
      </w:r>
      <w:r>
        <w:rPr/>
        <w:t>Међутим,</w:t>
      </w:r>
      <w:r>
        <w:rPr>
          <w:spacing w:val="-4"/>
        </w:rPr>
        <w:t> </w:t>
      </w:r>
      <w:r>
        <w:rPr/>
        <w:t>с</w:t>
      </w:r>
      <w:r>
        <w:rPr>
          <w:spacing w:val="-5"/>
        </w:rPr>
        <w:t> </w:t>
      </w:r>
      <w:r>
        <w:rPr/>
        <w:t>обзиром</w:t>
      </w:r>
      <w:r>
        <w:rPr>
          <w:spacing w:val="-5"/>
        </w:rPr>
        <w:t> </w:t>
      </w:r>
      <w:r>
        <w:rPr/>
        <w:t>да</w:t>
      </w:r>
      <w:r>
        <w:rPr>
          <w:spacing w:val="-5"/>
        </w:rPr>
        <w:t> </w:t>
      </w:r>
      <w:r>
        <w:rPr/>
        <w:t>је</w:t>
      </w:r>
      <w:r>
        <w:rPr>
          <w:spacing w:val="-2"/>
        </w:rPr>
        <w:t> </w:t>
      </w:r>
      <w:r>
        <w:rPr/>
        <w:t>око</w:t>
      </w:r>
      <w:r>
        <w:rPr>
          <w:spacing w:val="-4"/>
        </w:rPr>
        <w:t> </w:t>
      </w:r>
      <w:r>
        <w:rPr/>
        <w:t>80%</w:t>
      </w:r>
      <w:r>
        <w:rPr>
          <w:spacing w:val="-5"/>
        </w:rPr>
        <w:t> </w:t>
      </w:r>
      <w:r>
        <w:rPr/>
        <w:t>незапослених</w:t>
      </w:r>
      <w:r>
        <w:rPr>
          <w:spacing w:val="-2"/>
        </w:rPr>
        <w:t> </w:t>
      </w:r>
      <w:r>
        <w:rPr/>
        <w:t>део</w:t>
      </w:r>
      <w:r>
        <w:rPr>
          <w:spacing w:val="-4"/>
        </w:rPr>
        <w:t> </w:t>
      </w:r>
      <w:r>
        <w:rPr/>
        <w:t>неке</w:t>
      </w:r>
      <w:r>
        <w:rPr>
          <w:spacing w:val="-5"/>
        </w:rPr>
        <w:t> </w:t>
      </w:r>
      <w:r>
        <w:rPr/>
        <w:t>рањиве</w:t>
      </w:r>
      <w:r>
        <w:rPr>
          <w:spacing w:val="-3"/>
        </w:rPr>
        <w:t> </w:t>
      </w:r>
      <w:r>
        <w:rPr/>
        <w:t>групе,</w:t>
      </w:r>
      <w:r>
        <w:rPr>
          <w:spacing w:val="-4"/>
        </w:rPr>
        <w:t> </w:t>
      </w:r>
      <w:r>
        <w:rPr/>
        <w:t>оне су нужно постављене доста екстензивно попут младих, жена старијих, те је у том смислу потребно,</w:t>
      </w:r>
      <w:r>
        <w:rPr>
          <w:spacing w:val="-6"/>
        </w:rPr>
        <w:t> </w:t>
      </w:r>
      <w:r>
        <w:rPr/>
        <w:t>кроз</w:t>
      </w:r>
      <w:r>
        <w:rPr>
          <w:spacing w:val="-3"/>
        </w:rPr>
        <w:t> </w:t>
      </w:r>
      <w:r>
        <w:rPr/>
        <w:t>унапређен</w:t>
      </w:r>
      <w:r>
        <w:rPr>
          <w:spacing w:val="-5"/>
        </w:rPr>
        <w:t> </w:t>
      </w:r>
      <w:r>
        <w:rPr/>
        <w:t>саветодавни</w:t>
      </w:r>
      <w:r>
        <w:rPr>
          <w:spacing w:val="-5"/>
        </w:rPr>
        <w:t> </w:t>
      </w:r>
      <w:r>
        <w:rPr/>
        <w:t>рад</w:t>
      </w:r>
      <w:r>
        <w:rPr>
          <w:spacing w:val="-6"/>
        </w:rPr>
        <w:t> </w:t>
      </w:r>
      <w:r>
        <w:rPr/>
        <w:t>са</w:t>
      </w:r>
      <w:r>
        <w:rPr>
          <w:spacing w:val="-7"/>
        </w:rPr>
        <w:t> </w:t>
      </w:r>
      <w:r>
        <w:rPr/>
        <w:t>незапосленим</w:t>
      </w:r>
      <w:r>
        <w:rPr>
          <w:spacing w:val="-7"/>
        </w:rPr>
        <w:t> </w:t>
      </w:r>
      <w:r>
        <w:rPr/>
        <w:t>лицима,</w:t>
      </w:r>
      <w:r>
        <w:rPr>
          <w:spacing w:val="-6"/>
        </w:rPr>
        <w:t> </w:t>
      </w:r>
      <w:r>
        <w:rPr/>
        <w:t>осигурати</w:t>
      </w:r>
      <w:r>
        <w:rPr>
          <w:spacing w:val="-4"/>
        </w:rPr>
        <w:t> </w:t>
      </w:r>
      <w:r>
        <w:rPr/>
        <w:t>да</w:t>
      </w:r>
      <w:r>
        <w:rPr>
          <w:spacing w:val="-7"/>
        </w:rPr>
        <w:t> </w:t>
      </w:r>
      <w:r>
        <w:rPr/>
        <w:t>се</w:t>
      </w:r>
      <w:r>
        <w:rPr>
          <w:spacing w:val="-2"/>
        </w:rPr>
        <w:t> </w:t>
      </w:r>
      <w:r>
        <w:rPr/>
        <w:t>у</w:t>
      </w:r>
      <w:r>
        <w:rPr>
          <w:spacing w:val="-8"/>
        </w:rPr>
        <w:t> </w:t>
      </w:r>
      <w:r>
        <w:rPr/>
        <w:t>мере АПЗ укључују она лица чије запошљавање није могуће без интензивније подршке, јер ће једино на тај начин мере бити ефикасне и исплативе. Стога је потребно даље оснаживање компетенција саветника за запошљавање у НСЗ, као и иновирање инструмената који се у саветодавном раду користе. Одсуство интервенције овог типа додатно ће створити ризике како по послодавце, тако и по незапослена лица (непромењен статус након мере), али и по буџет Републике Србије (расипање оскудних средстава на лица која би се запослила и без мере</w:t>
      </w:r>
      <w:r>
        <w:rPr>
          <w:spacing w:val="-9"/>
        </w:rPr>
        <w:t> </w:t>
      </w:r>
      <w:r>
        <w:rPr/>
        <w:t>АПЗ).</w:t>
      </w:r>
      <w:r>
        <w:rPr>
          <w:spacing w:val="-9"/>
        </w:rPr>
        <w:t> </w:t>
      </w:r>
      <w:r>
        <w:rPr/>
        <w:t>Посебно</w:t>
      </w:r>
      <w:r>
        <w:rPr>
          <w:spacing w:val="-11"/>
        </w:rPr>
        <w:t> </w:t>
      </w:r>
      <w:r>
        <w:rPr/>
        <w:t>је</w:t>
      </w:r>
      <w:r>
        <w:rPr>
          <w:spacing w:val="-9"/>
        </w:rPr>
        <w:t> </w:t>
      </w:r>
      <w:r>
        <w:rPr/>
        <w:t>важно</w:t>
      </w:r>
      <w:r>
        <w:rPr>
          <w:spacing w:val="-6"/>
        </w:rPr>
        <w:t> </w:t>
      </w:r>
      <w:r>
        <w:rPr/>
        <w:t>унапредити</w:t>
      </w:r>
      <w:r>
        <w:rPr>
          <w:spacing w:val="-9"/>
        </w:rPr>
        <w:t> </w:t>
      </w:r>
      <w:r>
        <w:rPr/>
        <w:t>инструмент</w:t>
      </w:r>
      <w:r>
        <w:rPr>
          <w:spacing w:val="-10"/>
        </w:rPr>
        <w:t> </w:t>
      </w:r>
      <w:r>
        <w:rPr/>
        <w:t>за</w:t>
      </w:r>
      <w:r>
        <w:rPr>
          <w:spacing w:val="-12"/>
        </w:rPr>
        <w:t> </w:t>
      </w:r>
      <w:r>
        <w:rPr/>
        <w:t>процену</w:t>
      </w:r>
      <w:r>
        <w:rPr>
          <w:spacing w:val="-15"/>
        </w:rPr>
        <w:t> </w:t>
      </w:r>
      <w:r>
        <w:rPr/>
        <w:t>запошљивости</w:t>
      </w:r>
      <w:r>
        <w:rPr>
          <w:spacing w:val="-9"/>
        </w:rPr>
        <w:t> </w:t>
      </w:r>
      <w:r>
        <w:rPr/>
        <w:t>тражилаца запослења</w:t>
      </w:r>
      <w:r>
        <w:rPr>
          <w:spacing w:val="-6"/>
        </w:rPr>
        <w:t> </w:t>
      </w:r>
      <w:r>
        <w:rPr/>
        <w:t>и</w:t>
      </w:r>
      <w:r>
        <w:rPr>
          <w:spacing w:val="-4"/>
        </w:rPr>
        <w:t> </w:t>
      </w:r>
      <w:r>
        <w:rPr/>
        <w:t>то</w:t>
      </w:r>
      <w:r>
        <w:rPr>
          <w:spacing w:val="-4"/>
        </w:rPr>
        <w:t> </w:t>
      </w:r>
      <w:r>
        <w:rPr/>
        <w:t>на</w:t>
      </w:r>
      <w:r>
        <w:rPr>
          <w:spacing w:val="-6"/>
        </w:rPr>
        <w:t> </w:t>
      </w:r>
      <w:r>
        <w:rPr/>
        <w:t>начин</w:t>
      </w:r>
      <w:r>
        <w:rPr>
          <w:spacing w:val="-4"/>
        </w:rPr>
        <w:t> </w:t>
      </w:r>
      <w:r>
        <w:rPr/>
        <w:t>да</w:t>
      </w:r>
      <w:r>
        <w:rPr>
          <w:spacing w:val="-6"/>
        </w:rPr>
        <w:t> </w:t>
      </w:r>
      <w:r>
        <w:rPr/>
        <w:t>се</w:t>
      </w:r>
      <w:r>
        <w:rPr>
          <w:spacing w:val="-4"/>
        </w:rPr>
        <w:t> </w:t>
      </w:r>
      <w:r>
        <w:rPr/>
        <w:t>статистички</w:t>
      </w:r>
      <w:r>
        <w:rPr>
          <w:spacing w:val="-4"/>
        </w:rPr>
        <w:t> </w:t>
      </w:r>
      <w:r>
        <w:rPr/>
        <w:t>подаци</w:t>
      </w:r>
      <w:r>
        <w:rPr>
          <w:spacing w:val="-4"/>
        </w:rPr>
        <w:t> </w:t>
      </w:r>
      <w:r>
        <w:rPr/>
        <w:t>којима</w:t>
      </w:r>
      <w:r>
        <w:rPr>
          <w:spacing w:val="-6"/>
        </w:rPr>
        <w:t> </w:t>
      </w:r>
      <w:r>
        <w:rPr/>
        <w:t>располаже</w:t>
      </w:r>
      <w:r>
        <w:rPr>
          <w:spacing w:val="-4"/>
        </w:rPr>
        <w:t> </w:t>
      </w:r>
      <w:r>
        <w:rPr/>
        <w:t>НСЗ</w:t>
      </w:r>
      <w:r>
        <w:rPr>
          <w:spacing w:val="-5"/>
        </w:rPr>
        <w:t> </w:t>
      </w:r>
      <w:r>
        <w:rPr/>
        <w:t>ставе у</w:t>
      </w:r>
      <w:r>
        <w:rPr>
          <w:spacing w:val="-10"/>
        </w:rPr>
        <w:t> </w:t>
      </w:r>
      <w:r>
        <w:rPr/>
        <w:t>функцију препознавања лица којима прети дугорочна незапосленост, у циљу њене превенције.</w:t>
      </w:r>
    </w:p>
    <w:p>
      <w:pPr>
        <w:pStyle w:val="BodyText"/>
        <w:spacing w:before="121"/>
        <w:ind w:right="721" w:firstLine="719"/>
      </w:pPr>
      <w:r>
        <w:rPr/>
        <w:t>Сарадња са послодавцима други је важан аспект од којег зависи квалитет спровођења мера АПЗ, јер су послодавци не само директни корисници одређених мера и услуга, већ су</w:t>
      </w:r>
      <w:r>
        <w:rPr>
          <w:spacing w:val="-3"/>
        </w:rPr>
        <w:t> </w:t>
      </w:r>
      <w:r>
        <w:rPr/>
        <w:t>и значајан извор података о потребама тржишта према којима се усмеравају активности у запошљавању. Развијена сарадња са послодавцима доприноси успешној реализацији свих мера и услуга, од обезбеђивања кандидата за слободна радна места код послодаваца, преко мера у оквиру којих се послодавцима дају финансијска средства за запошљавање</w:t>
      </w:r>
      <w:r>
        <w:rPr>
          <w:spacing w:val="13"/>
        </w:rPr>
        <w:t> </w:t>
      </w:r>
      <w:r>
        <w:rPr/>
        <w:t>теже</w:t>
      </w:r>
      <w:r>
        <w:rPr>
          <w:spacing w:val="15"/>
        </w:rPr>
        <w:t> </w:t>
      </w:r>
      <w:r>
        <w:rPr/>
        <w:t>запошљивих</w:t>
      </w:r>
      <w:r>
        <w:rPr>
          <w:spacing w:val="22"/>
        </w:rPr>
        <w:t> </w:t>
      </w:r>
      <w:r>
        <w:rPr/>
        <w:t>лица,</w:t>
      </w:r>
      <w:r>
        <w:rPr>
          <w:spacing w:val="14"/>
        </w:rPr>
        <w:t> </w:t>
      </w:r>
      <w:r>
        <w:rPr/>
        <w:t>па</w:t>
      </w:r>
      <w:r>
        <w:rPr>
          <w:spacing w:val="16"/>
        </w:rPr>
        <w:t> </w:t>
      </w:r>
      <w:r>
        <w:rPr/>
        <w:t>до</w:t>
      </w:r>
      <w:r>
        <w:rPr>
          <w:spacing w:val="16"/>
        </w:rPr>
        <w:t> </w:t>
      </w:r>
      <w:r>
        <w:rPr/>
        <w:t>обука</w:t>
      </w:r>
      <w:r>
        <w:rPr>
          <w:spacing w:val="16"/>
        </w:rPr>
        <w:t> </w:t>
      </w:r>
      <w:r>
        <w:rPr/>
        <w:t>за</w:t>
      </w:r>
      <w:r>
        <w:rPr>
          <w:spacing w:val="16"/>
        </w:rPr>
        <w:t> </w:t>
      </w:r>
      <w:r>
        <w:rPr/>
        <w:t>тржиште</w:t>
      </w:r>
      <w:r>
        <w:rPr>
          <w:spacing w:val="16"/>
        </w:rPr>
        <w:t> </w:t>
      </w:r>
      <w:r>
        <w:rPr/>
        <w:t>рада</w:t>
      </w:r>
      <w:r>
        <w:rPr>
          <w:spacing w:val="16"/>
        </w:rPr>
        <w:t> </w:t>
      </w:r>
      <w:r>
        <w:rPr/>
        <w:t>које</w:t>
      </w:r>
      <w:r>
        <w:rPr>
          <w:spacing w:val="16"/>
        </w:rPr>
        <w:t> </w:t>
      </w:r>
      <w:r>
        <w:rPr/>
        <w:t>се</w:t>
      </w:r>
      <w:r>
        <w:rPr>
          <w:spacing w:val="16"/>
        </w:rPr>
        <w:t> </w:t>
      </w:r>
      <w:r>
        <w:rPr/>
        <w:t>организују</w:t>
      </w:r>
      <w:r>
        <w:rPr>
          <w:spacing w:val="12"/>
        </w:rPr>
        <w:t> </w:t>
      </w:r>
      <w:r>
        <w:rPr>
          <w:spacing w:val="-5"/>
        </w:rPr>
        <w:t>на</w:t>
      </w:r>
    </w:p>
    <w:p>
      <w:pPr>
        <w:pStyle w:val="BodyText"/>
        <w:spacing w:after="0"/>
        <w:sectPr>
          <w:pgSz w:w="12240" w:h="15840"/>
          <w:pgMar w:header="0" w:footer="702" w:top="1360" w:bottom="900" w:left="1080" w:right="720"/>
        </w:sectPr>
      </w:pPr>
    </w:p>
    <w:p>
      <w:pPr>
        <w:pStyle w:val="BodyText"/>
        <w:spacing w:before="72"/>
        <w:ind w:right="710"/>
      </w:pPr>
      <w:r>
        <w:rPr/>
        <w:t>основу информација о траженим занимањима на тржишту, а које се добијају управо на основу развијене сарадње са послодавцима. Посебно је важно унапредити квалитет спровођења</w:t>
      </w:r>
      <w:r>
        <w:rPr>
          <w:spacing w:val="-14"/>
        </w:rPr>
        <w:t> </w:t>
      </w:r>
      <w:r>
        <w:rPr/>
        <w:t>посредовања</w:t>
      </w:r>
      <w:r>
        <w:rPr>
          <w:spacing w:val="-13"/>
        </w:rPr>
        <w:t> </w:t>
      </w:r>
      <w:r>
        <w:rPr/>
        <w:t>по</w:t>
      </w:r>
      <w:r>
        <w:rPr>
          <w:spacing w:val="-12"/>
        </w:rPr>
        <w:t> </w:t>
      </w:r>
      <w:r>
        <w:rPr/>
        <w:t>захтеву</w:t>
      </w:r>
      <w:r>
        <w:rPr>
          <w:spacing w:val="-15"/>
        </w:rPr>
        <w:t> </w:t>
      </w:r>
      <w:r>
        <w:rPr/>
        <w:t>послодавца</w:t>
      </w:r>
      <w:r>
        <w:rPr>
          <w:spacing w:val="-13"/>
        </w:rPr>
        <w:t> </w:t>
      </w:r>
      <w:r>
        <w:rPr/>
        <w:t>и</w:t>
      </w:r>
      <w:r>
        <w:rPr>
          <w:spacing w:val="-11"/>
        </w:rPr>
        <w:t> </w:t>
      </w:r>
      <w:r>
        <w:rPr/>
        <w:t>повећавати</w:t>
      </w:r>
      <w:r>
        <w:rPr>
          <w:spacing w:val="-10"/>
        </w:rPr>
        <w:t> </w:t>
      </w:r>
      <w:r>
        <w:rPr/>
        <w:t>број</w:t>
      </w:r>
      <w:r>
        <w:rPr>
          <w:spacing w:val="-11"/>
        </w:rPr>
        <w:t> </w:t>
      </w:r>
      <w:r>
        <w:rPr/>
        <w:t>послодаваца</w:t>
      </w:r>
      <w:r>
        <w:rPr>
          <w:spacing w:val="-13"/>
        </w:rPr>
        <w:t> </w:t>
      </w:r>
      <w:r>
        <w:rPr/>
        <w:t>који</w:t>
      </w:r>
      <w:r>
        <w:rPr>
          <w:spacing w:val="-11"/>
        </w:rPr>
        <w:t> </w:t>
      </w:r>
      <w:r>
        <w:rPr/>
        <w:t>се</w:t>
      </w:r>
      <w:r>
        <w:rPr>
          <w:spacing w:val="-13"/>
        </w:rPr>
        <w:t> </w:t>
      </w:r>
      <w:r>
        <w:rPr/>
        <w:t>НСЗ обраћају за обезбеђењем извршилаца. Наиме, ову услугу којом послодавац добија ужи избор кандидата за запошљавање, НСЗ пружа бесплатно, тако да послодавац не мора да ангажује своје ресурсе, нити да плаћа ову услугу на тржишту. Унапређењем квалитета услуге посредовања у запошљавању, НСЗ ће повећати своју видљивост код оних послодаваца којима није искључиви циљ да добију средства, него квалитетне кандидате, док ће незапослена лица добити могућност квалитетног запошљавања. Ово унапређење подразумева потребу за преусмеравањем капацитета НСЗ ка послодавцима, у циљу отварања</w:t>
      </w:r>
      <w:r>
        <w:rPr>
          <w:spacing w:val="-4"/>
        </w:rPr>
        <w:t> </w:t>
      </w:r>
      <w:r>
        <w:rPr/>
        <w:t>простора</w:t>
      </w:r>
      <w:r>
        <w:rPr>
          <w:spacing w:val="-3"/>
        </w:rPr>
        <w:t> </w:t>
      </w:r>
      <w:r>
        <w:rPr/>
        <w:t>за</w:t>
      </w:r>
      <w:r>
        <w:rPr>
          <w:spacing w:val="-4"/>
        </w:rPr>
        <w:t> </w:t>
      </w:r>
      <w:r>
        <w:rPr/>
        <w:t>интензивнију</w:t>
      </w:r>
      <w:r>
        <w:rPr>
          <w:spacing w:val="-10"/>
        </w:rPr>
        <w:t> </w:t>
      </w:r>
      <w:r>
        <w:rPr/>
        <w:t>комуникацију</w:t>
      </w:r>
      <w:r>
        <w:rPr>
          <w:spacing w:val="-10"/>
        </w:rPr>
        <w:t> </w:t>
      </w:r>
      <w:r>
        <w:rPr/>
        <w:t>и</w:t>
      </w:r>
      <w:r>
        <w:rPr>
          <w:spacing w:val="-3"/>
        </w:rPr>
        <w:t> </w:t>
      </w:r>
      <w:r>
        <w:rPr/>
        <w:t>обезбеђивање</w:t>
      </w:r>
      <w:r>
        <w:rPr>
          <w:spacing w:val="-4"/>
        </w:rPr>
        <w:t> </w:t>
      </w:r>
      <w:r>
        <w:rPr/>
        <w:t>правовременог</w:t>
      </w:r>
      <w:r>
        <w:rPr>
          <w:spacing w:val="-4"/>
        </w:rPr>
        <w:t> </w:t>
      </w:r>
      <w:r>
        <w:rPr/>
        <w:t>одговора на њихове потребе. Сајам запошљавања представља важан облик посредовања који је у наредном периоду могуће организовати и онлајн, и тако изаћи у сусрет послодавцима и лицима којима такав начин одговара, али треба задржати и модалитет који подразумева непосредан контакт лица и послодавца и на тај начин, са два модалитета исте мере, приближити ову услугу корисницима.</w:t>
      </w:r>
    </w:p>
    <w:p>
      <w:pPr>
        <w:pStyle w:val="BodyText"/>
        <w:spacing w:before="121"/>
        <w:ind w:right="715" w:firstLine="719"/>
      </w:pPr>
      <w:r>
        <w:rPr/>
        <w:t>Мера</w:t>
      </w:r>
      <w:r>
        <w:rPr>
          <w:spacing w:val="-15"/>
        </w:rPr>
        <w:t> </w:t>
      </w:r>
      <w:r>
        <w:rPr/>
        <w:t>обухвата</w:t>
      </w:r>
      <w:r>
        <w:rPr>
          <w:spacing w:val="-15"/>
        </w:rPr>
        <w:t> </w:t>
      </w:r>
      <w:r>
        <w:rPr/>
        <w:t>и</w:t>
      </w:r>
      <w:r>
        <w:rPr>
          <w:spacing w:val="-11"/>
        </w:rPr>
        <w:t> </w:t>
      </w:r>
      <w:r>
        <w:rPr/>
        <w:t>унапређење</w:t>
      </w:r>
      <w:r>
        <w:rPr>
          <w:spacing w:val="-14"/>
        </w:rPr>
        <w:t> </w:t>
      </w:r>
      <w:r>
        <w:rPr/>
        <w:t>спровођења</w:t>
      </w:r>
      <w:r>
        <w:rPr>
          <w:spacing w:val="-15"/>
        </w:rPr>
        <w:t> </w:t>
      </w:r>
      <w:r>
        <w:rPr/>
        <w:t>сета</w:t>
      </w:r>
      <w:r>
        <w:rPr>
          <w:spacing w:val="-11"/>
        </w:rPr>
        <w:t> </w:t>
      </w:r>
      <w:r>
        <w:rPr/>
        <w:t>услуга/мера</w:t>
      </w:r>
      <w:r>
        <w:rPr>
          <w:spacing w:val="-15"/>
        </w:rPr>
        <w:t> </w:t>
      </w:r>
      <w:r>
        <w:rPr/>
        <w:t>намењених</w:t>
      </w:r>
      <w:r>
        <w:rPr>
          <w:spacing w:val="-15"/>
        </w:rPr>
        <w:t> </w:t>
      </w:r>
      <w:r>
        <w:rPr/>
        <w:t>незапосленим лицима који желе да покрену сопствени посао (обука „Пут до успешног предузетника”, менторинг, специјализоване обуке, субвенције за самозапошљавање), с обзиром да се подршка</w:t>
      </w:r>
      <w:r>
        <w:rPr>
          <w:spacing w:val="-6"/>
        </w:rPr>
        <w:t> </w:t>
      </w:r>
      <w:r>
        <w:rPr/>
        <w:t>предузетништву,</w:t>
      </w:r>
      <w:r>
        <w:rPr>
          <w:spacing w:val="-2"/>
        </w:rPr>
        <w:t> </w:t>
      </w:r>
      <w:r>
        <w:rPr/>
        <w:t>у</w:t>
      </w:r>
      <w:r>
        <w:rPr>
          <w:spacing w:val="-13"/>
        </w:rPr>
        <w:t> </w:t>
      </w:r>
      <w:r>
        <w:rPr/>
        <w:t>претходним</w:t>
      </w:r>
      <w:r>
        <w:rPr>
          <w:spacing w:val="-6"/>
        </w:rPr>
        <w:t> </w:t>
      </w:r>
      <w:r>
        <w:rPr/>
        <w:t>годинама,</w:t>
      </w:r>
      <w:r>
        <w:rPr>
          <w:spacing w:val="-5"/>
        </w:rPr>
        <w:t> </w:t>
      </w:r>
      <w:r>
        <w:rPr/>
        <w:t>показала</w:t>
      </w:r>
      <w:r>
        <w:rPr>
          <w:spacing w:val="-4"/>
        </w:rPr>
        <w:t> </w:t>
      </w:r>
      <w:r>
        <w:rPr/>
        <w:t>учинковитом.</w:t>
      </w:r>
      <w:r>
        <w:rPr>
          <w:spacing w:val="-5"/>
        </w:rPr>
        <w:t> </w:t>
      </w:r>
      <w:r>
        <w:rPr/>
        <w:t>Међутим,</w:t>
      </w:r>
      <w:r>
        <w:rPr>
          <w:spacing w:val="-5"/>
        </w:rPr>
        <w:t> </w:t>
      </w:r>
      <w:r>
        <w:rPr/>
        <w:t>треба имати у виду да корисници овог сета подршке након изласка из мере, односно покретања властитог</w:t>
      </w:r>
      <w:r>
        <w:rPr>
          <w:spacing w:val="-7"/>
        </w:rPr>
        <w:t> </w:t>
      </w:r>
      <w:r>
        <w:rPr/>
        <w:t>посла,</w:t>
      </w:r>
      <w:r>
        <w:rPr>
          <w:spacing w:val="-7"/>
        </w:rPr>
        <w:t> </w:t>
      </w:r>
      <w:r>
        <w:rPr/>
        <w:t>и</w:t>
      </w:r>
      <w:r>
        <w:rPr>
          <w:spacing w:val="-6"/>
        </w:rPr>
        <w:t> </w:t>
      </w:r>
      <w:r>
        <w:rPr/>
        <w:t>даље</w:t>
      </w:r>
      <w:r>
        <w:rPr>
          <w:spacing w:val="-8"/>
        </w:rPr>
        <w:t> </w:t>
      </w:r>
      <w:r>
        <w:rPr/>
        <w:t>остају</w:t>
      </w:r>
      <w:r>
        <w:rPr>
          <w:spacing w:val="-7"/>
        </w:rPr>
        <w:t> </w:t>
      </w:r>
      <w:r>
        <w:rPr/>
        <w:t>у</w:t>
      </w:r>
      <w:r>
        <w:rPr>
          <w:spacing w:val="-12"/>
        </w:rPr>
        <w:t> </w:t>
      </w:r>
      <w:r>
        <w:rPr/>
        <w:t>зони</w:t>
      </w:r>
      <w:r>
        <w:rPr>
          <w:spacing w:val="-6"/>
        </w:rPr>
        <w:t> </w:t>
      </w:r>
      <w:r>
        <w:rPr/>
        <w:t>рањивости</w:t>
      </w:r>
      <w:r>
        <w:rPr>
          <w:spacing w:val="-6"/>
        </w:rPr>
        <w:t> </w:t>
      </w:r>
      <w:r>
        <w:rPr/>
        <w:t>и</w:t>
      </w:r>
      <w:r>
        <w:rPr>
          <w:spacing w:val="-6"/>
        </w:rPr>
        <w:t> </w:t>
      </w:r>
      <w:r>
        <w:rPr/>
        <w:t>ризика</w:t>
      </w:r>
      <w:r>
        <w:rPr>
          <w:spacing w:val="-8"/>
        </w:rPr>
        <w:t> </w:t>
      </w:r>
      <w:r>
        <w:rPr/>
        <w:t>опстанка</w:t>
      </w:r>
      <w:r>
        <w:rPr>
          <w:spacing w:val="-8"/>
        </w:rPr>
        <w:t> </w:t>
      </w:r>
      <w:r>
        <w:rPr/>
        <w:t>на</w:t>
      </w:r>
      <w:r>
        <w:rPr>
          <w:spacing w:val="-11"/>
        </w:rPr>
        <w:t> </w:t>
      </w:r>
      <w:r>
        <w:rPr/>
        <w:t>тржишту.</w:t>
      </w:r>
      <w:r>
        <w:rPr>
          <w:spacing w:val="-7"/>
        </w:rPr>
        <w:t> </w:t>
      </w:r>
      <w:r>
        <w:rPr/>
        <w:t>Како</w:t>
      </w:r>
      <w:r>
        <w:rPr>
          <w:spacing w:val="-7"/>
        </w:rPr>
        <w:t> </w:t>
      </w:r>
      <w:r>
        <w:rPr/>
        <w:t>би</w:t>
      </w:r>
      <w:r>
        <w:rPr>
          <w:spacing w:val="-6"/>
        </w:rPr>
        <w:t> </w:t>
      </w:r>
      <w:r>
        <w:rPr/>
        <w:t>се ови ризици умањили, постојећи сет подршке самозапошљавању је потребно оснажити корективним механизмима са посебним акцентом на унапређење сета услуга, почев од обуке, израде бизнис плана, добијања субвенције за самозапошљавање до константног менторинга предузетника. Додатни простор за иновирање у овом сегменту се огледа и у дигитализацији</w:t>
      </w:r>
      <w:r>
        <w:rPr>
          <w:spacing w:val="-4"/>
        </w:rPr>
        <w:t> </w:t>
      </w:r>
      <w:r>
        <w:rPr/>
        <w:t>одређених</w:t>
      </w:r>
      <w:r>
        <w:rPr>
          <w:spacing w:val="-4"/>
        </w:rPr>
        <w:t> </w:t>
      </w:r>
      <w:r>
        <w:rPr/>
        <w:t>делова</w:t>
      </w:r>
      <w:r>
        <w:rPr>
          <w:spacing w:val="-7"/>
        </w:rPr>
        <w:t> </w:t>
      </w:r>
      <w:r>
        <w:rPr/>
        <w:t>обуке,</w:t>
      </w:r>
      <w:r>
        <w:rPr>
          <w:spacing w:val="-6"/>
        </w:rPr>
        <w:t> </w:t>
      </w:r>
      <w:r>
        <w:rPr/>
        <w:t>оцене</w:t>
      </w:r>
      <w:r>
        <w:rPr>
          <w:spacing w:val="-7"/>
        </w:rPr>
        <w:t> </w:t>
      </w:r>
      <w:r>
        <w:rPr/>
        <w:t>квалитета</w:t>
      </w:r>
      <w:r>
        <w:rPr>
          <w:spacing w:val="-6"/>
        </w:rPr>
        <w:t> </w:t>
      </w:r>
      <w:r>
        <w:rPr/>
        <w:t>бизнис</w:t>
      </w:r>
      <w:r>
        <w:rPr>
          <w:spacing w:val="-9"/>
        </w:rPr>
        <w:t> </w:t>
      </w:r>
      <w:r>
        <w:rPr/>
        <w:t>плана</w:t>
      </w:r>
      <w:r>
        <w:rPr>
          <w:spacing w:val="-4"/>
        </w:rPr>
        <w:t> </w:t>
      </w:r>
      <w:r>
        <w:rPr/>
        <w:t>у</w:t>
      </w:r>
      <w:r>
        <w:rPr>
          <w:spacing w:val="-11"/>
        </w:rPr>
        <w:t> </w:t>
      </w:r>
      <w:r>
        <w:rPr/>
        <w:t>циљу</w:t>
      </w:r>
      <w:r>
        <w:rPr>
          <w:spacing w:val="-13"/>
        </w:rPr>
        <w:t> </w:t>
      </w:r>
      <w:r>
        <w:rPr/>
        <w:t>одрживости предузетника или увођења онлајн менторинга. Такође, потребно је радити на повезивању са акредитованим регионалним развојним агенцијама (РАС) које пружају подршку привредним субјектима и на тај начин омогућити да предузетници који су то постали уз подршку</w:t>
      </w:r>
      <w:r>
        <w:rPr>
          <w:spacing w:val="-8"/>
        </w:rPr>
        <w:t> </w:t>
      </w:r>
      <w:r>
        <w:rPr/>
        <w:t>НСЗ, добију</w:t>
      </w:r>
      <w:r>
        <w:rPr>
          <w:spacing w:val="-8"/>
        </w:rPr>
        <w:t> </w:t>
      </w:r>
      <w:r>
        <w:rPr/>
        <w:t>континуирани менторинг, посебно у</w:t>
      </w:r>
      <w:r>
        <w:rPr>
          <w:spacing w:val="-8"/>
        </w:rPr>
        <w:t> </w:t>
      </w:r>
      <w:r>
        <w:rPr/>
        <w:t>области маркетинга,</w:t>
      </w:r>
      <w:r>
        <w:rPr>
          <w:spacing w:val="-2"/>
        </w:rPr>
        <w:t> </w:t>
      </w:r>
      <w:r>
        <w:rPr/>
        <w:t>пореског</w:t>
      </w:r>
      <w:r>
        <w:rPr>
          <w:spacing w:val="-3"/>
        </w:rPr>
        <w:t> </w:t>
      </w:r>
      <w:r>
        <w:rPr/>
        <w:t>и финансијског система, као и лакши приступ другим изворима финансирања.</w:t>
      </w:r>
    </w:p>
    <w:p>
      <w:pPr>
        <w:pStyle w:val="BodyText"/>
        <w:spacing w:before="177" w:after="1"/>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71"/>
      </w:tblGrid>
      <w:tr>
        <w:trPr>
          <w:trHeight w:val="541" w:hRule="atLeast"/>
        </w:trPr>
        <w:tc>
          <w:tcPr>
            <w:tcW w:w="1956" w:type="dxa"/>
          </w:tcPr>
          <w:p>
            <w:pPr>
              <w:pStyle w:val="TableParagraph"/>
              <w:spacing w:before="126"/>
              <w:ind w:left="50"/>
              <w:rPr>
                <w:i/>
                <w:sz w:val="24"/>
              </w:rPr>
            </w:pPr>
            <w:r>
              <w:rPr>
                <w:i/>
                <w:sz w:val="24"/>
              </w:rPr>
              <w:t>Врста/тип</w:t>
            </w:r>
            <w:r>
              <w:rPr>
                <w:i/>
                <w:spacing w:val="-2"/>
                <w:sz w:val="24"/>
              </w:rPr>
              <w:t> </w:t>
            </w:r>
            <w:r>
              <w:rPr>
                <w:i/>
                <w:spacing w:val="-4"/>
                <w:sz w:val="24"/>
              </w:rPr>
              <w:t>мере</w:t>
            </w:r>
          </w:p>
        </w:tc>
        <w:tc>
          <w:tcPr>
            <w:tcW w:w="7271" w:type="dxa"/>
          </w:tcPr>
          <w:p>
            <w:pPr>
              <w:pStyle w:val="TableParagraph"/>
              <w:tabs>
                <w:tab w:pos="2074" w:val="left" w:leader="none"/>
                <w:tab w:pos="3794" w:val="left" w:leader="none"/>
                <w:tab w:pos="6002" w:val="left" w:leader="none"/>
              </w:tabs>
              <w:spacing w:line="266" w:lineRule="exact"/>
              <w:ind w:left="215"/>
              <w:rPr>
                <w:sz w:val="24"/>
              </w:rPr>
            </w:pPr>
            <w:r>
              <w:rPr>
                <w:spacing w:val="-2"/>
                <w:sz w:val="24"/>
              </w:rPr>
              <w:t>Комбинована:</w:t>
            </w:r>
            <w:r>
              <w:rPr>
                <w:sz w:val="24"/>
              </w:rPr>
              <w:tab/>
            </w:r>
            <w:r>
              <w:rPr>
                <w:spacing w:val="-2"/>
                <w:sz w:val="24"/>
              </w:rPr>
              <w:t>регулаторна;</w:t>
            </w:r>
            <w:r>
              <w:rPr>
                <w:sz w:val="24"/>
              </w:rPr>
              <w:tab/>
            </w:r>
            <w:r>
              <w:rPr>
                <w:spacing w:val="-2"/>
                <w:sz w:val="24"/>
              </w:rPr>
              <w:t>институционално</w:t>
            </w:r>
            <w:r>
              <w:rPr>
                <w:sz w:val="24"/>
              </w:rPr>
              <w:tab/>
            </w:r>
            <w:r>
              <w:rPr>
                <w:spacing w:val="-2"/>
                <w:sz w:val="24"/>
              </w:rPr>
              <w:t>управљачко</w:t>
            </w:r>
          </w:p>
          <w:p>
            <w:pPr>
              <w:pStyle w:val="TableParagraph"/>
              <w:spacing w:line="256" w:lineRule="exact"/>
              <w:ind w:left="215"/>
              <w:rPr>
                <w:sz w:val="24"/>
              </w:rPr>
            </w:pPr>
            <w:r>
              <w:rPr>
                <w:spacing w:val="-2"/>
                <w:sz w:val="24"/>
              </w:rPr>
              <w:t>организациона</w:t>
            </w:r>
          </w:p>
        </w:tc>
      </w:tr>
    </w:tbl>
    <w:p>
      <w:pPr>
        <w:pStyle w:val="BodyText"/>
        <w:ind w:left="0"/>
        <w:jc w:val="left"/>
      </w:pPr>
    </w:p>
    <w:p>
      <w:pPr>
        <w:pStyle w:val="BodyText"/>
        <w:spacing w:before="32"/>
        <w:ind w:left="0"/>
        <w:jc w:val="left"/>
      </w:pPr>
    </w:p>
    <w:p>
      <w:pPr>
        <w:pStyle w:val="Heading2"/>
      </w:pPr>
      <w:r>
        <w:rPr/>
        <w:t>Мера</w:t>
      </w:r>
      <w:r>
        <w:rPr>
          <w:spacing w:val="-2"/>
        </w:rPr>
        <w:t> </w:t>
      </w:r>
      <w:r>
        <w:rPr/>
        <w:t>2.3.</w:t>
      </w:r>
      <w:r>
        <w:rPr>
          <w:spacing w:val="-2"/>
        </w:rPr>
        <w:t> </w:t>
      </w:r>
      <w:r>
        <w:rPr/>
        <w:t>-</w:t>
      </w:r>
      <w:r>
        <w:rPr>
          <w:spacing w:val="-3"/>
        </w:rPr>
        <w:t> </w:t>
      </w:r>
      <w:r>
        <w:rPr/>
        <w:t>Унапређење</w:t>
      </w:r>
      <w:r>
        <w:rPr>
          <w:spacing w:val="-2"/>
        </w:rPr>
        <w:t> </w:t>
      </w:r>
      <w:r>
        <w:rPr/>
        <w:t>система</w:t>
      </w:r>
      <w:r>
        <w:rPr>
          <w:spacing w:val="-2"/>
        </w:rPr>
        <w:t> </w:t>
      </w:r>
      <w:r>
        <w:rPr/>
        <w:t>праћења</w:t>
      </w:r>
      <w:r>
        <w:rPr>
          <w:spacing w:val="-2"/>
        </w:rPr>
        <w:t> </w:t>
      </w:r>
      <w:r>
        <w:rPr/>
        <w:t>и</w:t>
      </w:r>
      <w:r>
        <w:rPr>
          <w:spacing w:val="-2"/>
        </w:rPr>
        <w:t> </w:t>
      </w:r>
      <w:r>
        <w:rPr/>
        <w:t>вредновања</w:t>
      </w:r>
      <w:r>
        <w:rPr>
          <w:spacing w:val="-2"/>
        </w:rPr>
        <w:t> </w:t>
      </w:r>
      <w:r>
        <w:rPr/>
        <w:t>исхода</w:t>
      </w:r>
      <w:r>
        <w:rPr>
          <w:spacing w:val="-4"/>
        </w:rPr>
        <w:t> </w:t>
      </w:r>
      <w:r>
        <w:rPr/>
        <w:t>и</w:t>
      </w:r>
      <w:r>
        <w:rPr>
          <w:spacing w:val="-2"/>
        </w:rPr>
        <w:t> </w:t>
      </w:r>
      <w:r>
        <w:rPr/>
        <w:t>утицаја</w:t>
      </w:r>
      <w:r>
        <w:rPr>
          <w:spacing w:val="-2"/>
        </w:rPr>
        <w:t> </w:t>
      </w:r>
      <w:r>
        <w:rPr/>
        <w:t>мера</w:t>
      </w:r>
      <w:r>
        <w:rPr>
          <w:spacing w:val="-1"/>
        </w:rPr>
        <w:t> </w:t>
      </w:r>
      <w:r>
        <w:rPr>
          <w:spacing w:val="-5"/>
        </w:rPr>
        <w:t>АПЗ</w:t>
      </w:r>
    </w:p>
    <w:p>
      <w:pPr>
        <w:pStyle w:val="BodyText"/>
        <w:spacing w:before="38"/>
        <w:ind w:left="0"/>
        <w:jc w:val="left"/>
        <w:rPr>
          <w:b/>
        </w:rPr>
      </w:pPr>
    </w:p>
    <w:p>
      <w:pPr>
        <w:pStyle w:val="BodyText"/>
        <w:ind w:right="720" w:firstLine="719"/>
      </w:pPr>
      <w:r>
        <w:rPr/>
        <w:t>Постизање</w:t>
      </w:r>
      <w:r>
        <w:rPr>
          <w:spacing w:val="-7"/>
        </w:rPr>
        <w:t> </w:t>
      </w:r>
      <w:r>
        <w:rPr/>
        <w:t>високог</w:t>
      </w:r>
      <w:r>
        <w:rPr>
          <w:spacing w:val="-7"/>
        </w:rPr>
        <w:t> </w:t>
      </w:r>
      <w:r>
        <w:rPr/>
        <w:t>нивоа</w:t>
      </w:r>
      <w:r>
        <w:rPr>
          <w:spacing w:val="-5"/>
        </w:rPr>
        <w:t> </w:t>
      </w:r>
      <w:r>
        <w:rPr/>
        <w:t>учинка</w:t>
      </w:r>
      <w:r>
        <w:rPr>
          <w:spacing w:val="-8"/>
        </w:rPr>
        <w:t> </w:t>
      </w:r>
      <w:r>
        <w:rPr/>
        <w:t>мера</w:t>
      </w:r>
      <w:r>
        <w:rPr>
          <w:spacing w:val="-8"/>
        </w:rPr>
        <w:t> </w:t>
      </w:r>
      <w:r>
        <w:rPr/>
        <w:t>АПЗ</w:t>
      </w:r>
      <w:r>
        <w:rPr>
          <w:spacing w:val="-7"/>
        </w:rPr>
        <w:t> </w:t>
      </w:r>
      <w:r>
        <w:rPr/>
        <w:t>захтева,</w:t>
      </w:r>
      <w:r>
        <w:rPr>
          <w:spacing w:val="-7"/>
        </w:rPr>
        <w:t> </w:t>
      </w:r>
      <w:r>
        <w:rPr/>
        <w:t>између</w:t>
      </w:r>
      <w:r>
        <w:rPr>
          <w:spacing w:val="-12"/>
        </w:rPr>
        <w:t> </w:t>
      </w:r>
      <w:r>
        <w:rPr/>
        <w:t>осталог</w:t>
      </w:r>
      <w:r>
        <w:rPr>
          <w:spacing w:val="-7"/>
        </w:rPr>
        <w:t> </w:t>
      </w:r>
      <w:r>
        <w:rPr/>
        <w:t>и</w:t>
      </w:r>
      <w:r>
        <w:rPr>
          <w:spacing w:val="-8"/>
        </w:rPr>
        <w:t> </w:t>
      </w:r>
      <w:r>
        <w:rPr/>
        <w:t>континуирано праћење и вредновање њихових исхода и утицаја, као полазне основе за </w:t>
      </w:r>
      <w:r>
        <w:rPr>
          <w:spacing w:val="-2"/>
        </w:rPr>
        <w:t>ревизију/модификацију.</w:t>
      </w:r>
    </w:p>
    <w:p>
      <w:pPr>
        <w:pStyle w:val="BodyText"/>
        <w:spacing w:before="121"/>
        <w:ind w:right="722" w:firstLine="719"/>
      </w:pPr>
      <w:r>
        <w:rPr/>
        <w:t>Праћење представља инструмент за проверу резултата у односу на очекивања, односно утврђивања остварене промене у односу на планиране расходе и/или у односу на планирани</w:t>
      </w:r>
      <w:r>
        <w:rPr>
          <w:spacing w:val="67"/>
          <w:w w:val="150"/>
        </w:rPr>
        <w:t> </w:t>
      </w:r>
      <w:r>
        <w:rPr/>
        <w:t>број</w:t>
      </w:r>
      <w:r>
        <w:rPr>
          <w:spacing w:val="69"/>
          <w:w w:val="150"/>
        </w:rPr>
        <w:t> </w:t>
      </w:r>
      <w:r>
        <w:rPr/>
        <w:t>учесника</w:t>
      </w:r>
      <w:r>
        <w:rPr>
          <w:spacing w:val="67"/>
          <w:w w:val="150"/>
        </w:rPr>
        <w:t> </w:t>
      </w:r>
      <w:r>
        <w:rPr/>
        <w:t>мера</w:t>
      </w:r>
      <w:r>
        <w:rPr>
          <w:spacing w:val="67"/>
          <w:w w:val="150"/>
        </w:rPr>
        <w:t> </w:t>
      </w:r>
      <w:r>
        <w:rPr/>
        <w:t>и</w:t>
      </w:r>
      <w:r>
        <w:rPr>
          <w:spacing w:val="69"/>
          <w:w w:val="150"/>
        </w:rPr>
        <w:t> </w:t>
      </w:r>
      <w:r>
        <w:rPr/>
        <w:t>спроводи</w:t>
      </w:r>
      <w:r>
        <w:rPr>
          <w:spacing w:val="68"/>
          <w:w w:val="150"/>
        </w:rPr>
        <w:t> </w:t>
      </w:r>
      <w:r>
        <w:rPr/>
        <w:t>се</w:t>
      </w:r>
      <w:r>
        <w:rPr>
          <w:spacing w:val="67"/>
          <w:w w:val="150"/>
        </w:rPr>
        <w:t> </w:t>
      </w:r>
      <w:r>
        <w:rPr/>
        <w:t>на</w:t>
      </w:r>
      <w:r>
        <w:rPr>
          <w:spacing w:val="67"/>
          <w:w w:val="150"/>
        </w:rPr>
        <w:t> </w:t>
      </w:r>
      <w:r>
        <w:rPr/>
        <w:t>основу</w:t>
      </w:r>
      <w:r>
        <w:rPr>
          <w:spacing w:val="61"/>
          <w:w w:val="150"/>
        </w:rPr>
        <w:t> </w:t>
      </w:r>
      <w:r>
        <w:rPr/>
        <w:t>редовног</w:t>
      </w:r>
      <w:r>
        <w:rPr>
          <w:spacing w:val="68"/>
          <w:w w:val="150"/>
        </w:rPr>
        <w:t> </w:t>
      </w:r>
      <w:r>
        <w:rPr/>
        <w:t>и</w:t>
      </w:r>
      <w:r>
        <w:rPr>
          <w:spacing w:val="68"/>
          <w:w w:val="150"/>
        </w:rPr>
        <w:t> </w:t>
      </w:r>
      <w:r>
        <w:rPr>
          <w:spacing w:val="-2"/>
        </w:rPr>
        <w:t>систематског</w:t>
      </w:r>
    </w:p>
    <w:p>
      <w:pPr>
        <w:pStyle w:val="BodyText"/>
        <w:spacing w:after="0"/>
        <w:sectPr>
          <w:pgSz w:w="12240" w:h="15840"/>
          <w:pgMar w:header="0" w:footer="702" w:top="1360" w:bottom="900" w:left="1080" w:right="720"/>
        </w:sectPr>
      </w:pPr>
    </w:p>
    <w:p>
      <w:pPr>
        <w:pStyle w:val="BodyText"/>
        <w:spacing w:before="72"/>
        <w:ind w:right="720"/>
      </w:pPr>
      <w:r>
        <w:rPr/>
        <w:t>прикупљања и обраде статистичких показатеља (административних података) у посматраном временском оквиру. Подаци који се прикупе у процесу праћења основ су за све даље интервенције у смислу избора и дизајна мера.</w:t>
      </w:r>
    </w:p>
    <w:p>
      <w:pPr>
        <w:pStyle w:val="BodyText"/>
        <w:spacing w:before="120"/>
        <w:ind w:right="718" w:firstLine="719"/>
      </w:pPr>
      <w:r>
        <w:rPr/>
        <w:t>Вредновање исхода је вредновање којим се процењује у којој мери је интервенција утицала на њене учеснике тј. у којој мери је остварена промена у њиховом статусу на тржишту рада у одређеном периоду након учешћа у мери АПЗ.</w:t>
      </w:r>
    </w:p>
    <w:p>
      <w:pPr>
        <w:pStyle w:val="BodyText"/>
        <w:spacing w:before="120"/>
        <w:ind w:right="721" w:firstLine="719"/>
      </w:pPr>
      <w:r>
        <w:rPr/>
        <w:t>Са друге стране вредновање утицаја односи се на дугорочне ефекте и додатне вредности,</w:t>
      </w:r>
      <w:r>
        <w:rPr>
          <w:spacing w:val="-15"/>
        </w:rPr>
        <w:t> </w:t>
      </w:r>
      <w:r>
        <w:rPr/>
        <w:t>односно</w:t>
      </w:r>
      <w:r>
        <w:rPr>
          <w:spacing w:val="-15"/>
        </w:rPr>
        <w:t> </w:t>
      </w:r>
      <w:r>
        <w:rPr/>
        <w:t>процењује</w:t>
      </w:r>
      <w:r>
        <w:rPr>
          <w:spacing w:val="-15"/>
        </w:rPr>
        <w:t> </w:t>
      </w:r>
      <w:r>
        <w:rPr/>
        <w:t>се</w:t>
      </w:r>
      <w:r>
        <w:rPr>
          <w:spacing w:val="-15"/>
        </w:rPr>
        <w:t> </w:t>
      </w:r>
      <w:r>
        <w:rPr/>
        <w:t>у</w:t>
      </w:r>
      <w:r>
        <w:rPr>
          <w:spacing w:val="-15"/>
        </w:rPr>
        <w:t> </w:t>
      </w:r>
      <w:r>
        <w:rPr/>
        <w:t>којој</w:t>
      </w:r>
      <w:r>
        <w:rPr>
          <w:spacing w:val="-15"/>
        </w:rPr>
        <w:t> </w:t>
      </w:r>
      <w:r>
        <w:rPr/>
        <w:t>би</w:t>
      </w:r>
      <w:r>
        <w:rPr>
          <w:spacing w:val="-15"/>
        </w:rPr>
        <w:t> </w:t>
      </w:r>
      <w:r>
        <w:rPr/>
        <w:t>се</w:t>
      </w:r>
      <w:r>
        <w:rPr>
          <w:spacing w:val="-15"/>
        </w:rPr>
        <w:t> </w:t>
      </w:r>
      <w:r>
        <w:rPr/>
        <w:t>мери</w:t>
      </w:r>
      <w:r>
        <w:rPr>
          <w:spacing w:val="-15"/>
        </w:rPr>
        <w:t> </w:t>
      </w:r>
      <w:r>
        <w:rPr/>
        <w:t>промене</w:t>
      </w:r>
      <w:r>
        <w:rPr>
          <w:spacing w:val="-15"/>
        </w:rPr>
        <w:t> </w:t>
      </w:r>
      <w:r>
        <w:rPr/>
        <w:t>исхода</w:t>
      </w:r>
      <w:r>
        <w:rPr>
          <w:spacing w:val="-15"/>
        </w:rPr>
        <w:t> </w:t>
      </w:r>
      <w:r>
        <w:rPr/>
        <w:t>на</w:t>
      </w:r>
      <w:r>
        <w:rPr>
          <w:spacing w:val="-15"/>
        </w:rPr>
        <w:t> </w:t>
      </w:r>
      <w:r>
        <w:rPr/>
        <w:t>тржишту</w:t>
      </w:r>
      <w:r>
        <w:rPr>
          <w:spacing w:val="-15"/>
        </w:rPr>
        <w:t> </w:t>
      </w:r>
      <w:r>
        <w:rPr/>
        <w:t>рада</w:t>
      </w:r>
      <w:r>
        <w:rPr>
          <w:spacing w:val="-15"/>
        </w:rPr>
        <w:t> </w:t>
      </w:r>
      <w:r>
        <w:rPr/>
        <w:t>десиле да</w:t>
      </w:r>
      <w:r>
        <w:rPr>
          <w:spacing w:val="-4"/>
        </w:rPr>
        <w:t> </w:t>
      </w:r>
      <w:r>
        <w:rPr/>
        <w:t>мера</w:t>
      </w:r>
      <w:r>
        <w:rPr>
          <w:spacing w:val="-2"/>
        </w:rPr>
        <w:t> </w:t>
      </w:r>
      <w:r>
        <w:rPr/>
        <w:t>АПЗ</w:t>
      </w:r>
      <w:r>
        <w:rPr>
          <w:spacing w:val="-3"/>
        </w:rPr>
        <w:t> </w:t>
      </w:r>
      <w:r>
        <w:rPr/>
        <w:t>није</w:t>
      </w:r>
      <w:r>
        <w:rPr>
          <w:spacing w:val="-3"/>
        </w:rPr>
        <w:t> </w:t>
      </w:r>
      <w:r>
        <w:rPr/>
        <w:t>реализована.</w:t>
      </w:r>
      <w:r>
        <w:rPr>
          <w:spacing w:val="-3"/>
        </w:rPr>
        <w:t> </w:t>
      </w:r>
      <w:r>
        <w:rPr/>
        <w:t>Вредновање утицаја</w:t>
      </w:r>
      <w:r>
        <w:rPr>
          <w:spacing w:val="-3"/>
        </w:rPr>
        <w:t> </w:t>
      </w:r>
      <w:r>
        <w:rPr/>
        <w:t>је</w:t>
      </w:r>
      <w:r>
        <w:rPr>
          <w:spacing w:val="-4"/>
        </w:rPr>
        <w:t> </w:t>
      </w:r>
      <w:r>
        <w:rPr/>
        <w:t>веома</w:t>
      </w:r>
      <w:r>
        <w:rPr>
          <w:spacing w:val="-4"/>
        </w:rPr>
        <w:t> </w:t>
      </w:r>
      <w:r>
        <w:rPr/>
        <w:t>захтевно</w:t>
      </w:r>
      <w:r>
        <w:rPr>
          <w:spacing w:val="-3"/>
        </w:rPr>
        <w:t> </w:t>
      </w:r>
      <w:r>
        <w:rPr/>
        <w:t>по</w:t>
      </w:r>
      <w:r>
        <w:rPr>
          <w:spacing w:val="-3"/>
        </w:rPr>
        <w:t> </w:t>
      </w:r>
      <w:r>
        <w:rPr/>
        <w:t>питању</w:t>
      </w:r>
      <w:r>
        <w:rPr>
          <w:spacing w:val="-8"/>
        </w:rPr>
        <w:t> </w:t>
      </w:r>
      <w:r>
        <w:rPr/>
        <w:t>времена</w:t>
      </w:r>
      <w:r>
        <w:rPr>
          <w:spacing w:val="-4"/>
        </w:rPr>
        <w:t> </w:t>
      </w:r>
      <w:r>
        <w:rPr/>
        <w:t>и експертизе извођача, али је од изузетног значаја за доносиоце политика у процесу дугорочног планирања.</w:t>
      </w:r>
    </w:p>
    <w:p>
      <w:pPr>
        <w:pStyle w:val="BodyText"/>
        <w:spacing w:before="121"/>
        <w:ind w:right="720" w:firstLine="719"/>
      </w:pPr>
      <w:r>
        <w:rPr/>
        <w:t>Имајући у виду важност ове области, у наредном периоду ће се, кроз системски приступ,</w:t>
      </w:r>
      <w:r>
        <w:rPr>
          <w:spacing w:val="-6"/>
        </w:rPr>
        <w:t> </w:t>
      </w:r>
      <w:r>
        <w:rPr/>
        <w:t>спроводити</w:t>
      </w:r>
      <w:r>
        <w:rPr>
          <w:spacing w:val="-5"/>
        </w:rPr>
        <w:t> </w:t>
      </w:r>
      <w:r>
        <w:rPr/>
        <w:t>активности</w:t>
      </w:r>
      <w:r>
        <w:rPr>
          <w:spacing w:val="-8"/>
        </w:rPr>
        <w:t> </w:t>
      </w:r>
      <w:r>
        <w:rPr/>
        <w:t>на</w:t>
      </w:r>
      <w:r>
        <w:rPr>
          <w:spacing w:val="-8"/>
        </w:rPr>
        <w:t> </w:t>
      </w:r>
      <w:r>
        <w:rPr/>
        <w:t>изградњи</w:t>
      </w:r>
      <w:r>
        <w:rPr>
          <w:spacing w:val="-9"/>
        </w:rPr>
        <w:t> </w:t>
      </w:r>
      <w:r>
        <w:rPr/>
        <w:t>интегрисаног</w:t>
      </w:r>
      <w:r>
        <w:rPr>
          <w:spacing w:val="-7"/>
        </w:rPr>
        <w:t> </w:t>
      </w:r>
      <w:r>
        <w:rPr/>
        <w:t>система</w:t>
      </w:r>
      <w:r>
        <w:rPr>
          <w:spacing w:val="-8"/>
        </w:rPr>
        <w:t> </w:t>
      </w:r>
      <w:r>
        <w:rPr/>
        <w:t>праћења</w:t>
      </w:r>
      <w:r>
        <w:rPr>
          <w:spacing w:val="-6"/>
        </w:rPr>
        <w:t> </w:t>
      </w:r>
      <w:r>
        <w:rPr/>
        <w:t>и</w:t>
      </w:r>
      <w:r>
        <w:rPr>
          <w:spacing w:val="-6"/>
        </w:rPr>
        <w:t> </w:t>
      </w:r>
      <w:r>
        <w:rPr/>
        <w:t>вредновања мера</w:t>
      </w:r>
      <w:r>
        <w:rPr>
          <w:spacing w:val="-9"/>
        </w:rPr>
        <w:t> </w:t>
      </w:r>
      <w:r>
        <w:rPr/>
        <w:t>АПЗ.</w:t>
      </w:r>
      <w:r>
        <w:rPr>
          <w:spacing w:val="-8"/>
        </w:rPr>
        <w:t> </w:t>
      </w:r>
      <w:r>
        <w:rPr/>
        <w:t>Такође,</w:t>
      </w:r>
      <w:r>
        <w:rPr>
          <w:spacing w:val="-5"/>
        </w:rPr>
        <w:t> </w:t>
      </w:r>
      <w:r>
        <w:rPr/>
        <w:t>унапређење</w:t>
      </w:r>
      <w:r>
        <w:rPr>
          <w:spacing w:val="-9"/>
        </w:rPr>
        <w:t> </w:t>
      </w:r>
      <w:r>
        <w:rPr/>
        <w:t>система</w:t>
      </w:r>
      <w:r>
        <w:rPr>
          <w:spacing w:val="-9"/>
        </w:rPr>
        <w:t> </w:t>
      </w:r>
      <w:r>
        <w:rPr/>
        <w:t>праћења</w:t>
      </w:r>
      <w:r>
        <w:rPr>
          <w:spacing w:val="-9"/>
        </w:rPr>
        <w:t> </w:t>
      </w:r>
      <w:r>
        <w:rPr/>
        <w:t>подразумева</w:t>
      </w:r>
      <w:r>
        <w:rPr>
          <w:spacing w:val="-9"/>
        </w:rPr>
        <w:t> </w:t>
      </w:r>
      <w:r>
        <w:rPr/>
        <w:t>и</w:t>
      </w:r>
      <w:r>
        <w:rPr>
          <w:spacing w:val="-5"/>
        </w:rPr>
        <w:t> </w:t>
      </w:r>
      <w:r>
        <w:rPr/>
        <w:t>унапређење</w:t>
      </w:r>
      <w:r>
        <w:rPr>
          <w:spacing w:val="-9"/>
        </w:rPr>
        <w:t> </w:t>
      </w:r>
      <w:r>
        <w:rPr/>
        <w:t>методологије</w:t>
      </w:r>
      <w:r>
        <w:rPr>
          <w:spacing w:val="-10"/>
        </w:rPr>
        <w:t> </w:t>
      </w:r>
      <w:r>
        <w:rPr/>
        <w:t>и начина</w:t>
      </w:r>
      <w:r>
        <w:rPr>
          <w:spacing w:val="-2"/>
        </w:rPr>
        <w:t> </w:t>
      </w:r>
      <w:r>
        <w:rPr/>
        <w:t>извештавања</w:t>
      </w:r>
      <w:r>
        <w:rPr>
          <w:spacing w:val="-2"/>
        </w:rPr>
        <w:t> </w:t>
      </w:r>
      <w:r>
        <w:rPr/>
        <w:t>о реализованим</w:t>
      </w:r>
      <w:r>
        <w:rPr>
          <w:spacing w:val="-2"/>
        </w:rPr>
        <w:t> </w:t>
      </w:r>
      <w:r>
        <w:rPr/>
        <w:t>мерама АПЗ</w:t>
      </w:r>
      <w:r>
        <w:rPr>
          <w:spacing w:val="-1"/>
        </w:rPr>
        <w:t> </w:t>
      </w:r>
      <w:r>
        <w:rPr/>
        <w:t>и утрошеним</w:t>
      </w:r>
      <w:r>
        <w:rPr>
          <w:spacing w:val="-2"/>
        </w:rPr>
        <w:t> </w:t>
      </w:r>
      <w:r>
        <w:rPr/>
        <w:t>финансијским</w:t>
      </w:r>
      <w:r>
        <w:rPr>
          <w:spacing w:val="-2"/>
        </w:rPr>
        <w:t> </w:t>
      </w:r>
      <w:r>
        <w:rPr/>
        <w:t>средствима.</w:t>
      </w:r>
    </w:p>
    <w:p>
      <w:pPr>
        <w:pStyle w:val="BodyText"/>
        <w:spacing w:before="120"/>
        <w:ind w:right="722" w:firstLine="719"/>
      </w:pPr>
      <w:r>
        <w:rPr/>
        <w:t>Даље, потребно је аналитички унапредити извештаје о реализацији мера АПЗ спроведених кроз локалне акционе планове запошљавања.</w:t>
      </w:r>
    </w:p>
    <w:p>
      <w:pPr>
        <w:pStyle w:val="BodyText"/>
        <w:spacing w:before="176"/>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71"/>
      </w:tblGrid>
      <w:tr>
        <w:trPr>
          <w:trHeight w:val="541" w:hRule="atLeast"/>
        </w:trPr>
        <w:tc>
          <w:tcPr>
            <w:tcW w:w="1956" w:type="dxa"/>
          </w:tcPr>
          <w:p>
            <w:pPr>
              <w:pStyle w:val="TableParagraph"/>
              <w:spacing w:before="126"/>
              <w:ind w:left="50"/>
              <w:rPr>
                <w:i/>
                <w:sz w:val="24"/>
              </w:rPr>
            </w:pPr>
            <w:r>
              <w:rPr>
                <w:i/>
                <w:sz w:val="24"/>
              </w:rPr>
              <w:t>Врста/тип</w:t>
            </w:r>
            <w:r>
              <w:rPr>
                <w:i/>
                <w:spacing w:val="-2"/>
                <w:sz w:val="24"/>
              </w:rPr>
              <w:t> </w:t>
            </w:r>
            <w:r>
              <w:rPr>
                <w:i/>
                <w:spacing w:val="-4"/>
                <w:sz w:val="24"/>
              </w:rPr>
              <w:t>мере</w:t>
            </w:r>
          </w:p>
        </w:tc>
        <w:tc>
          <w:tcPr>
            <w:tcW w:w="7271" w:type="dxa"/>
          </w:tcPr>
          <w:p>
            <w:pPr>
              <w:pStyle w:val="TableParagraph"/>
              <w:tabs>
                <w:tab w:pos="2074" w:val="left" w:leader="none"/>
                <w:tab w:pos="3794" w:val="left" w:leader="none"/>
                <w:tab w:pos="6002" w:val="left" w:leader="none"/>
              </w:tabs>
              <w:spacing w:line="266" w:lineRule="exact"/>
              <w:ind w:left="215"/>
              <w:rPr>
                <w:sz w:val="24"/>
              </w:rPr>
            </w:pPr>
            <w:r>
              <w:rPr>
                <w:spacing w:val="-2"/>
                <w:sz w:val="24"/>
              </w:rPr>
              <w:t>Комбинована:</w:t>
            </w:r>
            <w:r>
              <w:rPr>
                <w:sz w:val="24"/>
              </w:rPr>
              <w:tab/>
            </w:r>
            <w:r>
              <w:rPr>
                <w:spacing w:val="-2"/>
                <w:sz w:val="24"/>
              </w:rPr>
              <w:t>регулаторна;</w:t>
            </w:r>
            <w:r>
              <w:rPr>
                <w:sz w:val="24"/>
              </w:rPr>
              <w:tab/>
            </w:r>
            <w:r>
              <w:rPr>
                <w:spacing w:val="-2"/>
                <w:sz w:val="24"/>
              </w:rPr>
              <w:t>институционално</w:t>
            </w:r>
            <w:r>
              <w:rPr>
                <w:sz w:val="24"/>
              </w:rPr>
              <w:tab/>
            </w:r>
            <w:r>
              <w:rPr>
                <w:spacing w:val="-2"/>
                <w:sz w:val="24"/>
              </w:rPr>
              <w:t>управљачко</w:t>
            </w:r>
          </w:p>
          <w:p>
            <w:pPr>
              <w:pStyle w:val="TableParagraph"/>
              <w:spacing w:line="256" w:lineRule="exact"/>
              <w:ind w:left="215"/>
              <w:rPr>
                <w:sz w:val="24"/>
              </w:rPr>
            </w:pPr>
            <w:r>
              <w:rPr>
                <w:spacing w:val="-2"/>
                <w:sz w:val="24"/>
              </w:rPr>
              <w:t>организациона</w:t>
            </w:r>
          </w:p>
        </w:tc>
      </w:tr>
    </w:tbl>
    <w:p>
      <w:pPr>
        <w:pStyle w:val="BodyText"/>
        <w:ind w:left="0"/>
        <w:jc w:val="left"/>
      </w:pPr>
    </w:p>
    <w:p>
      <w:pPr>
        <w:pStyle w:val="BodyText"/>
        <w:spacing w:before="34"/>
        <w:ind w:left="0"/>
        <w:jc w:val="left"/>
      </w:pPr>
    </w:p>
    <w:p>
      <w:pPr>
        <w:pStyle w:val="Heading2"/>
        <w:spacing w:before="1"/>
      </w:pPr>
      <w:r>
        <w:rPr/>
        <w:t>Мера</w:t>
      </w:r>
      <w:r>
        <w:rPr>
          <w:spacing w:val="-3"/>
        </w:rPr>
        <w:t> </w:t>
      </w:r>
      <w:r>
        <w:rPr/>
        <w:t>2.4.</w:t>
      </w:r>
      <w:r>
        <w:rPr>
          <w:spacing w:val="-3"/>
        </w:rPr>
        <w:t> </w:t>
      </w:r>
      <w:r>
        <w:rPr/>
        <w:t>Унапређење</w:t>
      </w:r>
      <w:r>
        <w:rPr>
          <w:spacing w:val="-4"/>
        </w:rPr>
        <w:t> </w:t>
      </w:r>
      <w:r>
        <w:rPr/>
        <w:t>положаја</w:t>
      </w:r>
      <w:r>
        <w:rPr>
          <w:spacing w:val="-2"/>
        </w:rPr>
        <w:t> </w:t>
      </w:r>
      <w:r>
        <w:rPr/>
        <w:t>жена</w:t>
      </w:r>
      <w:r>
        <w:rPr>
          <w:spacing w:val="-3"/>
        </w:rPr>
        <w:t> </w:t>
      </w:r>
      <w:r>
        <w:rPr/>
        <w:t>на</w:t>
      </w:r>
      <w:r>
        <w:rPr>
          <w:spacing w:val="-3"/>
        </w:rPr>
        <w:t> </w:t>
      </w:r>
      <w:r>
        <w:rPr/>
        <w:t>тржишту</w:t>
      </w:r>
      <w:r>
        <w:rPr>
          <w:spacing w:val="-3"/>
        </w:rPr>
        <w:t> </w:t>
      </w:r>
      <w:r>
        <w:rPr>
          <w:spacing w:val="-4"/>
        </w:rPr>
        <w:t>рада</w:t>
      </w:r>
    </w:p>
    <w:p>
      <w:pPr>
        <w:pStyle w:val="BodyText"/>
        <w:spacing w:before="35"/>
        <w:ind w:left="0"/>
        <w:jc w:val="left"/>
        <w:rPr>
          <w:b/>
        </w:rPr>
      </w:pPr>
    </w:p>
    <w:p>
      <w:pPr>
        <w:pStyle w:val="BodyText"/>
        <w:spacing w:before="1"/>
        <w:ind w:right="714" w:firstLine="719"/>
      </w:pPr>
      <w:r>
        <w:rPr/>
        <w:t>И</w:t>
      </w:r>
      <w:r>
        <w:rPr>
          <w:spacing w:val="-7"/>
        </w:rPr>
        <w:t> </w:t>
      </w:r>
      <w:r>
        <w:rPr/>
        <w:t>поред</w:t>
      </w:r>
      <w:r>
        <w:rPr>
          <w:spacing w:val="-6"/>
        </w:rPr>
        <w:t> </w:t>
      </w:r>
      <w:r>
        <w:rPr/>
        <w:t>чињенице</w:t>
      </w:r>
      <w:r>
        <w:rPr>
          <w:spacing w:val="-7"/>
        </w:rPr>
        <w:t> </w:t>
      </w:r>
      <w:r>
        <w:rPr/>
        <w:t>да</w:t>
      </w:r>
      <w:r>
        <w:rPr>
          <w:spacing w:val="-8"/>
        </w:rPr>
        <w:t> </w:t>
      </w:r>
      <w:r>
        <w:rPr/>
        <w:t>је</w:t>
      </w:r>
      <w:r>
        <w:rPr>
          <w:spacing w:val="-9"/>
        </w:rPr>
        <w:t> </w:t>
      </w:r>
      <w:r>
        <w:rPr/>
        <w:t>последњих</w:t>
      </w:r>
      <w:r>
        <w:rPr>
          <w:spacing w:val="-7"/>
        </w:rPr>
        <w:t> </w:t>
      </w:r>
      <w:r>
        <w:rPr/>
        <w:t>година</w:t>
      </w:r>
      <w:r>
        <w:rPr>
          <w:spacing w:val="-8"/>
        </w:rPr>
        <w:t> </w:t>
      </w:r>
      <w:r>
        <w:rPr/>
        <w:t>регистровано</w:t>
      </w:r>
      <w:r>
        <w:rPr>
          <w:spacing w:val="-7"/>
        </w:rPr>
        <w:t> </w:t>
      </w:r>
      <w:r>
        <w:rPr/>
        <w:t>побољшање</w:t>
      </w:r>
      <w:r>
        <w:rPr>
          <w:spacing w:val="-8"/>
        </w:rPr>
        <w:t> </w:t>
      </w:r>
      <w:r>
        <w:rPr/>
        <w:t>положаја</w:t>
      </w:r>
      <w:r>
        <w:rPr>
          <w:spacing w:val="-7"/>
        </w:rPr>
        <w:t> </w:t>
      </w:r>
      <w:r>
        <w:rPr/>
        <w:t>жена на тржишту рада, што доприноси повећању њихове економске самосталности и независности, и даље су присутни родни (у погледу активности и запослености), као и платни јаз (различити износи зарада за рад исте вредности) између мушкараца и жена. Обезбеђивање услова за једнаке могућности у приступу или повратку на тржиште рада, укључујући и прилике за стицање додатних знања, вештина, компетенција и одржање или унапређење</w:t>
      </w:r>
      <w:r>
        <w:rPr>
          <w:spacing w:val="-4"/>
        </w:rPr>
        <w:t> </w:t>
      </w:r>
      <w:r>
        <w:rPr/>
        <w:t>запослења</w:t>
      </w:r>
      <w:r>
        <w:rPr>
          <w:spacing w:val="-1"/>
        </w:rPr>
        <w:t> </w:t>
      </w:r>
      <w:r>
        <w:rPr/>
        <w:t>од</w:t>
      </w:r>
      <w:r>
        <w:rPr>
          <w:spacing w:val="-3"/>
        </w:rPr>
        <w:t> </w:t>
      </w:r>
      <w:r>
        <w:rPr/>
        <w:t>значаја</w:t>
      </w:r>
      <w:r>
        <w:rPr>
          <w:spacing w:val="-3"/>
        </w:rPr>
        <w:t> </w:t>
      </w:r>
      <w:r>
        <w:rPr/>
        <w:t>је</w:t>
      </w:r>
      <w:r>
        <w:rPr>
          <w:spacing w:val="-4"/>
        </w:rPr>
        <w:t> </w:t>
      </w:r>
      <w:r>
        <w:rPr/>
        <w:t>за</w:t>
      </w:r>
      <w:r>
        <w:rPr>
          <w:spacing w:val="-4"/>
        </w:rPr>
        <w:t> </w:t>
      </w:r>
      <w:r>
        <w:rPr/>
        <w:t>сваког</w:t>
      </w:r>
      <w:r>
        <w:rPr>
          <w:spacing w:val="-4"/>
        </w:rPr>
        <w:t> </w:t>
      </w:r>
      <w:r>
        <w:rPr/>
        <w:t>појединца,</w:t>
      </w:r>
      <w:r>
        <w:rPr>
          <w:spacing w:val="-3"/>
        </w:rPr>
        <w:t> </w:t>
      </w:r>
      <w:r>
        <w:rPr/>
        <w:t>али</w:t>
      </w:r>
      <w:r>
        <w:rPr>
          <w:spacing w:val="-2"/>
        </w:rPr>
        <w:t> </w:t>
      </w:r>
      <w:r>
        <w:rPr/>
        <w:t>се</w:t>
      </w:r>
      <w:r>
        <w:rPr>
          <w:spacing w:val="-4"/>
        </w:rPr>
        <w:t> </w:t>
      </w:r>
      <w:r>
        <w:rPr/>
        <w:t>додатна</w:t>
      </w:r>
      <w:r>
        <w:rPr>
          <w:spacing w:val="-4"/>
        </w:rPr>
        <w:t> </w:t>
      </w:r>
      <w:r>
        <w:rPr/>
        <w:t>вредност</w:t>
      </w:r>
      <w:r>
        <w:rPr>
          <w:spacing w:val="-3"/>
        </w:rPr>
        <w:t> </w:t>
      </w:r>
      <w:r>
        <w:rPr/>
        <w:t>остварује уколико је усмерено ка незапосленим женама које се суочавају са факторима вишеструке теже запошљивости и/или социјалне депривације (самохране мајке, Ромкиње без квалификација</w:t>
      </w:r>
      <w:r>
        <w:rPr>
          <w:spacing w:val="-1"/>
        </w:rPr>
        <w:t> </w:t>
      </w:r>
      <w:r>
        <w:rPr/>
        <w:t>или са ниским</w:t>
      </w:r>
      <w:r>
        <w:rPr>
          <w:spacing w:val="-1"/>
        </w:rPr>
        <w:t> </w:t>
      </w:r>
      <w:r>
        <w:rPr/>
        <w:t>нивоом квалификација, жене</w:t>
      </w:r>
      <w:r>
        <w:rPr>
          <w:spacing w:val="-1"/>
        </w:rPr>
        <w:t> </w:t>
      </w:r>
      <w:r>
        <w:rPr/>
        <w:t>из руралних подручја,</w:t>
      </w:r>
      <w:r>
        <w:rPr>
          <w:spacing w:val="40"/>
        </w:rPr>
        <w:t> </w:t>
      </w:r>
      <w:r>
        <w:rPr/>
        <w:t>жене са инвалидитетом и др.) Посебно су жене старије од 50 година које остају без посла обесхрабрене у покушају да се поново запосле, док су младе жене на тржишту рада често суочене са проблемом усклађивања радног и породичног живота. Унапређење њиховог положаја на тржишту рада захтева пружање системске помоћи у форми интегрисаног приступа институција различитих система, уз креирање додатних услуга/мера подршке.</w:t>
      </w:r>
    </w:p>
    <w:p>
      <w:pPr>
        <w:pStyle w:val="BodyText"/>
        <w:spacing w:before="121"/>
        <w:ind w:right="713" w:firstLine="719"/>
      </w:pPr>
      <w:r>
        <w:rPr/>
        <w:t>У</w:t>
      </w:r>
      <w:r>
        <w:rPr>
          <w:spacing w:val="-5"/>
        </w:rPr>
        <w:t> </w:t>
      </w:r>
      <w:r>
        <w:rPr/>
        <w:t>претходном</w:t>
      </w:r>
      <w:r>
        <w:rPr>
          <w:spacing w:val="-7"/>
        </w:rPr>
        <w:t> </w:t>
      </w:r>
      <w:r>
        <w:rPr/>
        <w:t>периоду,</w:t>
      </w:r>
      <w:r>
        <w:rPr>
          <w:spacing w:val="-1"/>
        </w:rPr>
        <w:t> </w:t>
      </w:r>
      <w:r>
        <w:rPr/>
        <w:t>у</w:t>
      </w:r>
      <w:r>
        <w:rPr>
          <w:spacing w:val="-10"/>
        </w:rPr>
        <w:t> </w:t>
      </w:r>
      <w:r>
        <w:rPr/>
        <w:t>оквиру</w:t>
      </w:r>
      <w:r>
        <w:rPr>
          <w:spacing w:val="-10"/>
        </w:rPr>
        <w:t> </w:t>
      </w:r>
      <w:r>
        <w:rPr/>
        <w:t>докумената</w:t>
      </w:r>
      <w:r>
        <w:rPr>
          <w:spacing w:val="-6"/>
        </w:rPr>
        <w:t> </w:t>
      </w:r>
      <w:r>
        <w:rPr/>
        <w:t>јавних</w:t>
      </w:r>
      <w:r>
        <w:rPr>
          <w:spacing w:val="-4"/>
        </w:rPr>
        <w:t> </w:t>
      </w:r>
      <w:r>
        <w:rPr/>
        <w:t>политика</w:t>
      </w:r>
      <w:r>
        <w:rPr>
          <w:spacing w:val="-6"/>
        </w:rPr>
        <w:t> </w:t>
      </w:r>
      <w:r>
        <w:rPr/>
        <w:t>препозната</w:t>
      </w:r>
      <w:r>
        <w:rPr>
          <w:spacing w:val="-6"/>
        </w:rPr>
        <w:t> </w:t>
      </w:r>
      <w:r>
        <w:rPr/>
        <w:t>је</w:t>
      </w:r>
      <w:r>
        <w:rPr>
          <w:spacing w:val="-6"/>
        </w:rPr>
        <w:t> </w:t>
      </w:r>
      <w:r>
        <w:rPr/>
        <w:t>потреба да се економски положај жена и њихов статус на тржишту рада унапреди. Посебан потенцијал уочен је у области информационо-комуникационих технологија. Осим подстицања ученица да се у свом образовању, а касније и професионално определе за ову област,</w:t>
      </w:r>
      <w:r>
        <w:rPr>
          <w:spacing w:val="34"/>
        </w:rPr>
        <w:t> </w:t>
      </w:r>
      <w:r>
        <w:rPr/>
        <w:t>потребно</w:t>
      </w:r>
      <w:r>
        <w:rPr>
          <w:spacing w:val="36"/>
        </w:rPr>
        <w:t> </w:t>
      </w:r>
      <w:r>
        <w:rPr/>
        <w:t>је</w:t>
      </w:r>
      <w:r>
        <w:rPr>
          <w:spacing w:val="35"/>
        </w:rPr>
        <w:t> </w:t>
      </w:r>
      <w:r>
        <w:rPr/>
        <w:t>жене</w:t>
      </w:r>
      <w:r>
        <w:rPr>
          <w:spacing w:val="37"/>
        </w:rPr>
        <w:t> </w:t>
      </w:r>
      <w:r>
        <w:rPr/>
        <w:t>укључити</w:t>
      </w:r>
      <w:r>
        <w:rPr>
          <w:spacing w:val="38"/>
        </w:rPr>
        <w:t> </w:t>
      </w:r>
      <w:r>
        <w:rPr/>
        <w:t>и</w:t>
      </w:r>
      <w:r>
        <w:rPr>
          <w:spacing w:val="39"/>
        </w:rPr>
        <w:t> </w:t>
      </w:r>
      <w:r>
        <w:rPr/>
        <w:t>у</w:t>
      </w:r>
      <w:r>
        <w:rPr>
          <w:spacing w:val="32"/>
        </w:rPr>
        <w:t> </w:t>
      </w:r>
      <w:r>
        <w:rPr/>
        <w:t>неформално</w:t>
      </w:r>
      <w:r>
        <w:rPr>
          <w:spacing w:val="36"/>
        </w:rPr>
        <w:t> </w:t>
      </w:r>
      <w:r>
        <w:rPr/>
        <w:t>образовање</w:t>
      </w:r>
      <w:r>
        <w:rPr>
          <w:spacing w:val="41"/>
        </w:rPr>
        <w:t> </w:t>
      </w:r>
      <w:r>
        <w:rPr/>
        <w:t>у</w:t>
      </w:r>
      <w:r>
        <w:rPr>
          <w:spacing w:val="33"/>
        </w:rPr>
        <w:t> </w:t>
      </w:r>
      <w:r>
        <w:rPr/>
        <w:t>области</w:t>
      </w:r>
      <w:r>
        <w:rPr>
          <w:spacing w:val="37"/>
        </w:rPr>
        <w:t> </w:t>
      </w:r>
      <w:r>
        <w:rPr/>
        <w:t>ИКТ.</w:t>
      </w:r>
      <w:r>
        <w:rPr>
          <w:spacing w:val="36"/>
        </w:rPr>
        <w:t> </w:t>
      </w:r>
      <w:r>
        <w:rPr/>
        <w:t>У</w:t>
      </w:r>
      <w:r>
        <w:rPr>
          <w:spacing w:val="37"/>
        </w:rPr>
        <w:t> </w:t>
      </w:r>
      <w:r>
        <w:rPr>
          <w:spacing w:val="-5"/>
        </w:rPr>
        <w:t>том</w:t>
      </w:r>
    </w:p>
    <w:p>
      <w:pPr>
        <w:pStyle w:val="BodyText"/>
        <w:spacing w:after="0"/>
        <w:sectPr>
          <w:pgSz w:w="12240" w:h="15840"/>
          <w:pgMar w:header="0" w:footer="702" w:top="1360" w:bottom="900" w:left="1080" w:right="720"/>
        </w:sectPr>
      </w:pPr>
    </w:p>
    <w:p>
      <w:pPr>
        <w:pStyle w:val="BodyText"/>
        <w:spacing w:before="72"/>
        <w:ind w:right="713"/>
      </w:pPr>
      <w:r>
        <w:rPr/>
        <w:t>правцу, у наредном периоду</w:t>
      </w:r>
      <w:r>
        <w:rPr>
          <w:spacing w:val="-3"/>
        </w:rPr>
        <w:t> </w:t>
      </w:r>
      <w:r>
        <w:rPr/>
        <w:t>жене би требало да имају приоритет приликом укључивања у специјалистичке информатичке обуке које се спроводе у оквиру програма додатног образовања и обука.</w:t>
      </w:r>
    </w:p>
    <w:p>
      <w:pPr>
        <w:pStyle w:val="BodyText"/>
        <w:spacing w:before="120"/>
        <w:ind w:right="718" w:firstLine="719"/>
      </w:pPr>
      <w:r>
        <w:rPr/>
        <w:t>С обзиром на значајан удео жена, најчешће са ниским квалификацијама, у статусу лица која обављају послове кућног/помоћног особља, а који су ограниченог трајања (неколико</w:t>
      </w:r>
      <w:r>
        <w:rPr>
          <w:spacing w:val="-8"/>
        </w:rPr>
        <w:t> </w:t>
      </w:r>
      <w:r>
        <w:rPr/>
        <w:t>дана</w:t>
      </w:r>
      <w:r>
        <w:rPr>
          <w:spacing w:val="-9"/>
        </w:rPr>
        <w:t> </w:t>
      </w:r>
      <w:r>
        <w:rPr/>
        <w:t>месечно),</w:t>
      </w:r>
      <w:r>
        <w:rPr>
          <w:spacing w:val="-8"/>
        </w:rPr>
        <w:t> </w:t>
      </w:r>
      <w:r>
        <w:rPr/>
        <w:t>неопходно</w:t>
      </w:r>
      <w:r>
        <w:rPr>
          <w:spacing w:val="-8"/>
        </w:rPr>
        <w:t> </w:t>
      </w:r>
      <w:r>
        <w:rPr/>
        <w:t>је,</w:t>
      </w:r>
      <w:r>
        <w:rPr>
          <w:spacing w:val="-9"/>
        </w:rPr>
        <w:t> </w:t>
      </w:r>
      <w:r>
        <w:rPr/>
        <w:t>кроз</w:t>
      </w:r>
      <w:r>
        <w:rPr>
          <w:spacing w:val="-7"/>
        </w:rPr>
        <w:t> </w:t>
      </w:r>
      <w:r>
        <w:rPr/>
        <w:t>даљи</w:t>
      </w:r>
      <w:r>
        <w:rPr>
          <w:spacing w:val="-7"/>
        </w:rPr>
        <w:t> </w:t>
      </w:r>
      <w:r>
        <w:rPr/>
        <w:t>развој</w:t>
      </w:r>
      <w:r>
        <w:rPr>
          <w:spacing w:val="-8"/>
        </w:rPr>
        <w:t> </w:t>
      </w:r>
      <w:r>
        <w:rPr/>
        <w:t>нормативног</w:t>
      </w:r>
      <w:r>
        <w:rPr>
          <w:spacing w:val="-11"/>
        </w:rPr>
        <w:t> </w:t>
      </w:r>
      <w:r>
        <w:rPr/>
        <w:t>уређења</w:t>
      </w:r>
      <w:r>
        <w:rPr>
          <w:spacing w:val="-9"/>
        </w:rPr>
        <w:t> </w:t>
      </w:r>
      <w:r>
        <w:rPr/>
        <w:t>овог</w:t>
      </w:r>
      <w:r>
        <w:rPr>
          <w:spacing w:val="-7"/>
        </w:rPr>
        <w:t> </w:t>
      </w:r>
      <w:r>
        <w:rPr/>
        <w:t>облика рада, обезбедити услове за остваривање права из система осигурања, у складу са законом.</w:t>
      </w:r>
    </w:p>
    <w:p>
      <w:pPr>
        <w:pStyle w:val="BodyText"/>
        <w:spacing w:before="120"/>
        <w:ind w:right="718" w:firstLine="719"/>
      </w:pPr>
      <w:r>
        <w:rPr/>
        <w:t>Такође,</w:t>
      </w:r>
      <w:r>
        <w:rPr>
          <w:spacing w:val="-15"/>
        </w:rPr>
        <w:t> </w:t>
      </w:r>
      <w:r>
        <w:rPr/>
        <w:t>имајући</w:t>
      </w:r>
      <w:r>
        <w:rPr>
          <w:spacing w:val="-15"/>
        </w:rPr>
        <w:t> </w:t>
      </w:r>
      <w:r>
        <w:rPr/>
        <w:t>у</w:t>
      </w:r>
      <w:r>
        <w:rPr>
          <w:spacing w:val="-15"/>
        </w:rPr>
        <w:t> </w:t>
      </w:r>
      <w:r>
        <w:rPr/>
        <w:t>виду</w:t>
      </w:r>
      <w:r>
        <w:rPr>
          <w:spacing w:val="-15"/>
        </w:rPr>
        <w:t> </w:t>
      </w:r>
      <w:r>
        <w:rPr/>
        <w:t>повећање</w:t>
      </w:r>
      <w:r>
        <w:rPr>
          <w:spacing w:val="-15"/>
        </w:rPr>
        <w:t> </w:t>
      </w:r>
      <w:r>
        <w:rPr/>
        <w:t>интересовања</w:t>
      </w:r>
      <w:r>
        <w:rPr>
          <w:spacing w:val="-15"/>
        </w:rPr>
        <w:t> </w:t>
      </w:r>
      <w:r>
        <w:rPr/>
        <w:t>жена</w:t>
      </w:r>
      <w:r>
        <w:rPr>
          <w:spacing w:val="-15"/>
        </w:rPr>
        <w:t> </w:t>
      </w:r>
      <w:r>
        <w:rPr/>
        <w:t>за</w:t>
      </w:r>
      <w:r>
        <w:rPr>
          <w:spacing w:val="-15"/>
        </w:rPr>
        <w:t> </w:t>
      </w:r>
      <w:r>
        <w:rPr/>
        <w:t>покретање</w:t>
      </w:r>
      <w:r>
        <w:rPr>
          <w:spacing w:val="-15"/>
        </w:rPr>
        <w:t> </w:t>
      </w:r>
      <w:r>
        <w:rPr/>
        <w:t>сопственог</w:t>
      </w:r>
      <w:r>
        <w:rPr>
          <w:spacing w:val="-15"/>
        </w:rPr>
        <w:t> </w:t>
      </w:r>
      <w:r>
        <w:rPr/>
        <w:t>посла, поред интензивирања активности на промоцији женског предузетништва, понуди квалитетних предузетничких едукативних програма и обука и додели субвенција за самозапошљавање, потребно је осигурати континуиране менторске подршке у првим годинама пословања за дугорочно одржање покренуте самостале делатности, али и обезбедити</w:t>
      </w:r>
      <w:r>
        <w:rPr>
          <w:spacing w:val="-15"/>
        </w:rPr>
        <w:t> </w:t>
      </w:r>
      <w:r>
        <w:rPr/>
        <w:t>и</w:t>
      </w:r>
      <w:r>
        <w:rPr>
          <w:spacing w:val="-15"/>
        </w:rPr>
        <w:t> </w:t>
      </w:r>
      <w:r>
        <w:rPr/>
        <w:t>друге</w:t>
      </w:r>
      <w:r>
        <w:rPr>
          <w:spacing w:val="-15"/>
        </w:rPr>
        <w:t> </w:t>
      </w:r>
      <w:r>
        <w:rPr/>
        <w:t>врсте</w:t>
      </w:r>
      <w:r>
        <w:rPr>
          <w:spacing w:val="-15"/>
        </w:rPr>
        <w:t> </w:t>
      </w:r>
      <w:r>
        <w:rPr/>
        <w:t>подршке</w:t>
      </w:r>
      <w:r>
        <w:rPr>
          <w:spacing w:val="-15"/>
        </w:rPr>
        <w:t> </w:t>
      </w:r>
      <w:r>
        <w:rPr/>
        <w:t>укључујући</w:t>
      </w:r>
      <w:r>
        <w:rPr>
          <w:spacing w:val="-15"/>
        </w:rPr>
        <w:t> </w:t>
      </w:r>
      <w:r>
        <w:rPr/>
        <w:t>достпуност</w:t>
      </w:r>
      <w:r>
        <w:rPr>
          <w:spacing w:val="-15"/>
        </w:rPr>
        <w:t> </w:t>
      </w:r>
      <w:r>
        <w:rPr/>
        <w:t>различитих</w:t>
      </w:r>
      <w:r>
        <w:rPr>
          <w:spacing w:val="-15"/>
        </w:rPr>
        <w:t> </w:t>
      </w:r>
      <w:r>
        <w:rPr/>
        <w:t>финансијских</w:t>
      </w:r>
      <w:r>
        <w:rPr>
          <w:spacing w:val="-15"/>
        </w:rPr>
        <w:t> </w:t>
      </w:r>
      <w:r>
        <w:rPr/>
        <w:t>извора за њен даљи развој и ширење.</w:t>
      </w:r>
    </w:p>
    <w:p>
      <w:pPr>
        <w:pStyle w:val="BodyText"/>
        <w:spacing w:before="121"/>
        <w:ind w:right="718" w:firstLine="719"/>
      </w:pPr>
      <w:r>
        <w:rPr/>
        <w:t>У процесу спровођења и праћења спровођења мера, активности и интервенција из система политике запошљавања примењиваће се родно осетљив приступ и тежити остваривању родно уравнотежених резултата, који се заснивају на родно рашчлањеним подацима.</w:t>
      </w:r>
      <w:r>
        <w:rPr>
          <w:spacing w:val="-6"/>
        </w:rPr>
        <w:t> </w:t>
      </w:r>
      <w:r>
        <w:rPr/>
        <w:t>Принцип</w:t>
      </w:r>
      <w:r>
        <w:rPr>
          <w:spacing w:val="-6"/>
        </w:rPr>
        <w:t> </w:t>
      </w:r>
      <w:r>
        <w:rPr/>
        <w:t>родно</w:t>
      </w:r>
      <w:r>
        <w:rPr>
          <w:spacing w:val="-6"/>
        </w:rPr>
        <w:t> </w:t>
      </w:r>
      <w:r>
        <w:rPr/>
        <w:t>одговорног</w:t>
      </w:r>
      <w:r>
        <w:rPr>
          <w:spacing w:val="-6"/>
        </w:rPr>
        <w:t> </w:t>
      </w:r>
      <w:r>
        <w:rPr/>
        <w:t>буџетирања</w:t>
      </w:r>
      <w:r>
        <w:rPr>
          <w:spacing w:val="-5"/>
        </w:rPr>
        <w:t> </w:t>
      </w:r>
      <w:r>
        <w:rPr/>
        <w:t>(који</w:t>
      </w:r>
      <w:r>
        <w:rPr>
          <w:spacing w:val="-5"/>
        </w:rPr>
        <w:t> </w:t>
      </w:r>
      <w:r>
        <w:rPr/>
        <w:t>је</w:t>
      </w:r>
      <w:r>
        <w:rPr>
          <w:spacing w:val="-2"/>
        </w:rPr>
        <w:t> </w:t>
      </w:r>
      <w:r>
        <w:rPr/>
        <w:t>уведен</w:t>
      </w:r>
      <w:r>
        <w:rPr>
          <w:spacing w:val="-1"/>
        </w:rPr>
        <w:t> </w:t>
      </w:r>
      <w:r>
        <w:rPr/>
        <w:t>у</w:t>
      </w:r>
      <w:r>
        <w:rPr>
          <w:spacing w:val="-9"/>
        </w:rPr>
        <w:t> </w:t>
      </w:r>
      <w:r>
        <w:rPr/>
        <w:t>оквиру</w:t>
      </w:r>
      <w:r>
        <w:rPr>
          <w:spacing w:val="-7"/>
        </w:rPr>
        <w:t> </w:t>
      </w:r>
      <w:r>
        <w:rPr/>
        <w:t>укупног</w:t>
      </w:r>
      <w:r>
        <w:rPr>
          <w:spacing w:val="-7"/>
        </w:rPr>
        <w:t> </w:t>
      </w:r>
      <w:r>
        <w:rPr/>
        <w:t>буџета за мере АПЗ и подразумева подједнако укључивање незапослених жена и мушкараца у мере, укључујући и родно уравнотежене могућности у процесу запошљавања), примењиваће се и на даље.</w:t>
      </w:r>
    </w:p>
    <w:p>
      <w:pPr>
        <w:pStyle w:val="BodyText"/>
        <w:spacing w:before="177"/>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75"/>
      </w:tblGrid>
      <w:tr>
        <w:trPr>
          <w:trHeight w:val="556" w:hRule="atLeast"/>
        </w:trPr>
        <w:tc>
          <w:tcPr>
            <w:tcW w:w="1956" w:type="dxa"/>
          </w:tcPr>
          <w:p>
            <w:pPr>
              <w:pStyle w:val="TableParagraph"/>
              <w:spacing w:before="81"/>
              <w:ind w:left="50"/>
              <w:rPr>
                <w:i/>
                <w:sz w:val="24"/>
              </w:rPr>
            </w:pPr>
            <w:r>
              <w:rPr>
                <w:i/>
                <w:sz w:val="24"/>
              </w:rPr>
              <w:t>Врста/тип</w:t>
            </w:r>
            <w:r>
              <w:rPr>
                <w:i/>
                <w:spacing w:val="-2"/>
                <w:sz w:val="24"/>
              </w:rPr>
              <w:t> </w:t>
            </w:r>
            <w:r>
              <w:rPr>
                <w:i/>
                <w:spacing w:val="-4"/>
                <w:sz w:val="24"/>
              </w:rPr>
              <w:t>мере</w:t>
            </w:r>
          </w:p>
        </w:tc>
        <w:tc>
          <w:tcPr>
            <w:tcW w:w="7275" w:type="dxa"/>
          </w:tcPr>
          <w:p>
            <w:pPr>
              <w:pStyle w:val="TableParagraph"/>
              <w:tabs>
                <w:tab w:pos="2043" w:val="left" w:leader="none"/>
                <w:tab w:pos="3734" w:val="left" w:leader="none"/>
                <w:tab w:pos="5422" w:val="left" w:leader="none"/>
              </w:tabs>
              <w:spacing w:line="266" w:lineRule="exact"/>
              <w:ind w:left="215"/>
              <w:rPr>
                <w:sz w:val="24"/>
              </w:rPr>
            </w:pPr>
            <w:r>
              <w:rPr>
                <w:spacing w:val="-2"/>
                <w:sz w:val="24"/>
              </w:rPr>
              <w:t>Комбинована:</w:t>
            </w:r>
            <w:r>
              <w:rPr>
                <w:sz w:val="24"/>
              </w:rPr>
              <w:tab/>
            </w:r>
            <w:r>
              <w:rPr>
                <w:spacing w:val="-2"/>
                <w:sz w:val="24"/>
              </w:rPr>
              <w:t>регулаторна;</w:t>
            </w:r>
            <w:r>
              <w:rPr>
                <w:sz w:val="24"/>
              </w:rPr>
              <w:tab/>
            </w:r>
            <w:r>
              <w:rPr>
                <w:spacing w:val="-2"/>
                <w:sz w:val="24"/>
              </w:rPr>
              <w:t>подстицајна;</w:t>
            </w:r>
            <w:r>
              <w:rPr>
                <w:sz w:val="24"/>
              </w:rPr>
              <w:tab/>
            </w:r>
            <w:r>
              <w:rPr>
                <w:spacing w:val="-2"/>
                <w:sz w:val="24"/>
              </w:rPr>
              <w:t>институционално</w:t>
            </w:r>
          </w:p>
          <w:p>
            <w:pPr>
              <w:pStyle w:val="TableParagraph"/>
              <w:spacing w:line="256" w:lineRule="exact" w:before="14"/>
              <w:ind w:left="215"/>
              <w:rPr>
                <w:sz w:val="24"/>
              </w:rPr>
            </w:pPr>
            <w:r>
              <w:rPr>
                <w:sz w:val="24"/>
              </w:rPr>
              <w:t>управљачко</w:t>
            </w:r>
            <w:r>
              <w:rPr>
                <w:spacing w:val="-4"/>
                <w:sz w:val="24"/>
              </w:rPr>
              <w:t> </w:t>
            </w:r>
            <w:r>
              <w:rPr>
                <w:sz w:val="24"/>
              </w:rPr>
              <w:t>организациона,</w:t>
            </w:r>
            <w:r>
              <w:rPr>
                <w:spacing w:val="-4"/>
                <w:sz w:val="24"/>
              </w:rPr>
              <w:t> </w:t>
            </w:r>
            <w:r>
              <w:rPr>
                <w:sz w:val="24"/>
              </w:rPr>
              <w:t>информативно</w:t>
            </w:r>
            <w:r>
              <w:rPr>
                <w:spacing w:val="-4"/>
                <w:sz w:val="24"/>
              </w:rPr>
              <w:t> </w:t>
            </w:r>
            <w:r>
              <w:rPr>
                <w:spacing w:val="-2"/>
                <w:sz w:val="24"/>
              </w:rPr>
              <w:t>едукативна</w:t>
            </w:r>
          </w:p>
        </w:tc>
      </w:tr>
    </w:tbl>
    <w:p>
      <w:pPr>
        <w:pStyle w:val="BodyText"/>
        <w:spacing w:before="201"/>
        <w:ind w:left="0"/>
        <w:jc w:val="left"/>
      </w:pPr>
    </w:p>
    <w:p>
      <w:pPr>
        <w:pStyle w:val="Heading2"/>
        <w:spacing w:before="1"/>
      </w:pPr>
      <w:r>
        <w:rPr/>
        <w:t>Мера</w:t>
      </w:r>
      <w:r>
        <w:rPr>
          <w:spacing w:val="-5"/>
        </w:rPr>
        <w:t> </w:t>
      </w:r>
      <w:r>
        <w:rPr/>
        <w:t>2.5.</w:t>
      </w:r>
      <w:r>
        <w:rPr>
          <w:spacing w:val="-2"/>
        </w:rPr>
        <w:t> </w:t>
      </w:r>
      <w:r>
        <w:rPr/>
        <w:t>Побољшање</w:t>
      </w:r>
      <w:r>
        <w:rPr>
          <w:spacing w:val="-2"/>
        </w:rPr>
        <w:t> </w:t>
      </w:r>
      <w:r>
        <w:rPr/>
        <w:t>положаја</w:t>
      </w:r>
      <w:r>
        <w:rPr>
          <w:spacing w:val="-2"/>
        </w:rPr>
        <w:t> </w:t>
      </w:r>
      <w:r>
        <w:rPr/>
        <w:t>младих</w:t>
      </w:r>
      <w:r>
        <w:rPr>
          <w:spacing w:val="-3"/>
        </w:rPr>
        <w:t> </w:t>
      </w:r>
      <w:r>
        <w:rPr/>
        <w:t>на</w:t>
      </w:r>
      <w:r>
        <w:rPr>
          <w:spacing w:val="-2"/>
        </w:rPr>
        <w:t> </w:t>
      </w:r>
      <w:r>
        <w:rPr/>
        <w:t>тржишту</w:t>
      </w:r>
      <w:r>
        <w:rPr>
          <w:spacing w:val="-2"/>
        </w:rPr>
        <w:t> </w:t>
      </w:r>
      <w:r>
        <w:rPr>
          <w:spacing w:val="-4"/>
        </w:rPr>
        <w:t>рада</w:t>
      </w:r>
    </w:p>
    <w:p>
      <w:pPr>
        <w:pStyle w:val="BodyText"/>
        <w:spacing w:before="35"/>
        <w:ind w:left="0"/>
        <w:jc w:val="left"/>
        <w:rPr>
          <w:b/>
        </w:rPr>
      </w:pPr>
    </w:p>
    <w:p>
      <w:pPr>
        <w:pStyle w:val="BodyText"/>
        <w:spacing w:before="1"/>
        <w:ind w:right="719" w:firstLine="719"/>
      </w:pPr>
      <w:r>
        <w:rPr/>
        <w:t>Према Закону о младима, у ову категорију спадају лица од навршених 15 до навршених</w:t>
      </w:r>
      <w:r>
        <w:rPr>
          <w:spacing w:val="-13"/>
        </w:rPr>
        <w:t> </w:t>
      </w:r>
      <w:r>
        <w:rPr/>
        <w:t>30</w:t>
      </w:r>
      <w:r>
        <w:rPr>
          <w:spacing w:val="-11"/>
        </w:rPr>
        <w:t> </w:t>
      </w:r>
      <w:r>
        <w:rPr/>
        <w:t>година</w:t>
      </w:r>
      <w:r>
        <w:rPr>
          <w:spacing w:val="-12"/>
        </w:rPr>
        <w:t> </w:t>
      </w:r>
      <w:r>
        <w:rPr/>
        <w:t>живота.</w:t>
      </w:r>
      <w:r>
        <w:rPr>
          <w:spacing w:val="-11"/>
        </w:rPr>
        <w:t> </w:t>
      </w:r>
      <w:r>
        <w:rPr/>
        <w:t>Положај</w:t>
      </w:r>
      <w:r>
        <w:rPr>
          <w:spacing w:val="-10"/>
        </w:rPr>
        <w:t> </w:t>
      </w:r>
      <w:r>
        <w:rPr/>
        <w:t>младих</w:t>
      </w:r>
      <w:r>
        <w:rPr>
          <w:spacing w:val="-13"/>
        </w:rPr>
        <w:t> </w:t>
      </w:r>
      <w:r>
        <w:rPr/>
        <w:t>је</w:t>
      </w:r>
      <w:r>
        <w:rPr>
          <w:spacing w:val="-9"/>
        </w:rPr>
        <w:t> </w:t>
      </w:r>
      <w:r>
        <w:rPr/>
        <w:t>у</w:t>
      </w:r>
      <w:r>
        <w:rPr>
          <w:spacing w:val="-15"/>
        </w:rPr>
        <w:t> </w:t>
      </w:r>
      <w:r>
        <w:rPr/>
        <w:t>одређеној</w:t>
      </w:r>
      <w:r>
        <w:rPr>
          <w:spacing w:val="-10"/>
        </w:rPr>
        <w:t> </w:t>
      </w:r>
      <w:r>
        <w:rPr/>
        <w:t>мери</w:t>
      </w:r>
      <w:r>
        <w:rPr>
          <w:spacing w:val="-10"/>
        </w:rPr>
        <w:t> </w:t>
      </w:r>
      <w:r>
        <w:rPr/>
        <w:t>побољшан</w:t>
      </w:r>
      <w:r>
        <w:rPr>
          <w:spacing w:val="-7"/>
        </w:rPr>
        <w:t> </w:t>
      </w:r>
      <w:r>
        <w:rPr/>
        <w:t>у</w:t>
      </w:r>
      <w:r>
        <w:rPr>
          <w:spacing w:val="-15"/>
        </w:rPr>
        <w:t> </w:t>
      </w:r>
      <w:r>
        <w:rPr/>
        <w:t>претходном периоду, али сагледавајући основне</w:t>
      </w:r>
      <w:r>
        <w:rPr>
          <w:spacing w:val="-1"/>
        </w:rPr>
        <w:t> </w:t>
      </w:r>
      <w:r>
        <w:rPr/>
        <w:t>показатеље</w:t>
      </w:r>
      <w:r>
        <w:rPr>
          <w:spacing w:val="-1"/>
        </w:rPr>
        <w:t> </w:t>
      </w:r>
      <w:r>
        <w:rPr/>
        <w:t>тржишта рада, може</w:t>
      </w:r>
      <w:r>
        <w:rPr>
          <w:spacing w:val="-1"/>
        </w:rPr>
        <w:t> </w:t>
      </w:r>
      <w:r>
        <w:rPr/>
        <w:t>се</w:t>
      </w:r>
      <w:r>
        <w:rPr>
          <w:spacing w:val="-1"/>
        </w:rPr>
        <w:t> </w:t>
      </w:r>
      <w:r>
        <w:rPr/>
        <w:t>видети да</w:t>
      </w:r>
      <w:r>
        <w:rPr>
          <w:spacing w:val="-3"/>
        </w:rPr>
        <w:t> </w:t>
      </w:r>
      <w:r>
        <w:rPr/>
        <w:t>проблем активности</w:t>
      </w:r>
      <w:r>
        <w:rPr>
          <w:spacing w:val="-8"/>
        </w:rPr>
        <w:t> </w:t>
      </w:r>
      <w:r>
        <w:rPr/>
        <w:t>младих</w:t>
      </w:r>
      <w:r>
        <w:rPr>
          <w:spacing w:val="-7"/>
        </w:rPr>
        <w:t> </w:t>
      </w:r>
      <w:r>
        <w:rPr/>
        <w:t>перзистира.</w:t>
      </w:r>
      <w:r>
        <w:rPr>
          <w:spacing w:val="-9"/>
        </w:rPr>
        <w:t> </w:t>
      </w:r>
      <w:r>
        <w:rPr/>
        <w:t>То</w:t>
      </w:r>
      <w:r>
        <w:rPr>
          <w:spacing w:val="-10"/>
        </w:rPr>
        <w:t> </w:t>
      </w:r>
      <w:r>
        <w:rPr/>
        <w:t>се</w:t>
      </w:r>
      <w:r>
        <w:rPr>
          <w:spacing w:val="-10"/>
        </w:rPr>
        <w:t> </w:t>
      </w:r>
      <w:r>
        <w:rPr/>
        <w:t>може</w:t>
      </w:r>
      <w:r>
        <w:rPr>
          <w:spacing w:val="-10"/>
        </w:rPr>
        <w:t> </w:t>
      </w:r>
      <w:r>
        <w:rPr/>
        <w:t>донекле</w:t>
      </w:r>
      <w:r>
        <w:rPr>
          <w:spacing w:val="-10"/>
        </w:rPr>
        <w:t> </w:t>
      </w:r>
      <w:r>
        <w:rPr/>
        <w:t>објаснити</w:t>
      </w:r>
      <w:r>
        <w:rPr>
          <w:spacing w:val="-8"/>
        </w:rPr>
        <w:t> </w:t>
      </w:r>
      <w:r>
        <w:rPr/>
        <w:t>њиховим</w:t>
      </w:r>
      <w:r>
        <w:rPr>
          <w:spacing w:val="-10"/>
        </w:rPr>
        <w:t> </w:t>
      </w:r>
      <w:r>
        <w:rPr/>
        <w:t>дужим</w:t>
      </w:r>
      <w:r>
        <w:rPr>
          <w:spacing w:val="-10"/>
        </w:rPr>
        <w:t> </w:t>
      </w:r>
      <w:r>
        <w:rPr/>
        <w:t>остајањем</w:t>
      </w:r>
      <w:r>
        <w:rPr>
          <w:spacing w:val="-4"/>
        </w:rPr>
        <w:t> </w:t>
      </w:r>
      <w:r>
        <w:rPr/>
        <w:t>у образовању, што се оцењује као позитивно, јер олакшава транзицију од школе до посла и обезбеђује квалитетније запослење по завршетку школовања. Ипак, како је и смањење учешћа младих из категорије NEET у укупном броју младих резултат пре свега смањења учешћа активних младих,</w:t>
      </w:r>
      <w:r>
        <w:rPr>
          <w:spacing w:val="-3"/>
        </w:rPr>
        <w:t> </w:t>
      </w:r>
      <w:r>
        <w:rPr/>
        <w:t>недвосмислено</w:t>
      </w:r>
      <w:r>
        <w:rPr>
          <w:spacing w:val="-1"/>
        </w:rPr>
        <w:t> </w:t>
      </w:r>
      <w:r>
        <w:rPr/>
        <w:t>постоји потреба</w:t>
      </w:r>
      <w:r>
        <w:rPr>
          <w:spacing w:val="-2"/>
        </w:rPr>
        <w:t> </w:t>
      </w:r>
      <w:r>
        <w:rPr/>
        <w:t>да</w:t>
      </w:r>
      <w:r>
        <w:rPr>
          <w:spacing w:val="-2"/>
        </w:rPr>
        <w:t> </w:t>
      </w:r>
      <w:r>
        <w:rPr/>
        <w:t>се</w:t>
      </w:r>
      <w:r>
        <w:rPr>
          <w:spacing w:val="-2"/>
        </w:rPr>
        <w:t> </w:t>
      </w:r>
      <w:r>
        <w:rPr/>
        <w:t>ради на</w:t>
      </w:r>
      <w:r>
        <w:rPr>
          <w:spacing w:val="-2"/>
        </w:rPr>
        <w:t> </w:t>
      </w:r>
      <w:r>
        <w:rPr/>
        <w:t>приступу,</w:t>
      </w:r>
      <w:r>
        <w:rPr>
          <w:spacing w:val="-1"/>
        </w:rPr>
        <w:t> </w:t>
      </w:r>
      <w:r>
        <w:rPr/>
        <w:t>односно моделу за допирање до оних младих који су пасивни, демотивисани и који се сами не обраћају институцијама за подршку. Међутим, и младима који су активни потребна је додатна подршка како би њихова активност резултирала запошљавањем, уместо повлачењем</w:t>
      </w:r>
      <w:r>
        <w:rPr>
          <w:spacing w:val="-3"/>
        </w:rPr>
        <w:t> </w:t>
      </w:r>
      <w:r>
        <w:rPr/>
        <w:t>у</w:t>
      </w:r>
      <w:r>
        <w:rPr>
          <w:spacing w:val="-12"/>
        </w:rPr>
        <w:t> </w:t>
      </w:r>
      <w:r>
        <w:rPr/>
        <w:t>пасивност</w:t>
      </w:r>
      <w:r>
        <w:rPr>
          <w:spacing w:val="-4"/>
        </w:rPr>
        <w:t> </w:t>
      </w:r>
      <w:r>
        <w:rPr/>
        <w:t>услед</w:t>
      </w:r>
      <w:r>
        <w:rPr>
          <w:spacing w:val="-7"/>
        </w:rPr>
        <w:t> </w:t>
      </w:r>
      <w:r>
        <w:rPr/>
        <w:t>обесхрабрености.</w:t>
      </w:r>
      <w:r>
        <w:rPr>
          <w:spacing w:val="-7"/>
        </w:rPr>
        <w:t> </w:t>
      </w:r>
      <w:r>
        <w:rPr/>
        <w:t>Број</w:t>
      </w:r>
      <w:r>
        <w:rPr>
          <w:spacing w:val="-6"/>
        </w:rPr>
        <w:t> </w:t>
      </w:r>
      <w:r>
        <w:rPr/>
        <w:t>младих</w:t>
      </w:r>
      <w:r>
        <w:rPr>
          <w:spacing w:val="-5"/>
        </w:rPr>
        <w:t> </w:t>
      </w:r>
      <w:r>
        <w:rPr/>
        <w:t>који</w:t>
      </w:r>
      <w:r>
        <w:rPr>
          <w:spacing w:val="-6"/>
        </w:rPr>
        <w:t> </w:t>
      </w:r>
      <w:r>
        <w:rPr/>
        <w:t>посао</w:t>
      </w:r>
      <w:r>
        <w:rPr>
          <w:spacing w:val="-7"/>
        </w:rPr>
        <w:t> </w:t>
      </w:r>
      <w:r>
        <w:rPr/>
        <w:t>траже</w:t>
      </w:r>
      <w:r>
        <w:rPr>
          <w:spacing w:val="-4"/>
        </w:rPr>
        <w:t> </w:t>
      </w:r>
      <w:r>
        <w:rPr/>
        <w:t>уз</w:t>
      </w:r>
      <w:r>
        <w:rPr>
          <w:spacing w:val="-6"/>
        </w:rPr>
        <w:t> </w:t>
      </w:r>
      <w:r>
        <w:rPr/>
        <w:t>подршку НСЗ смањен је у претходним годинама, али податак да скоро свака друга млада особа са евиденције НСЗ тражи посао дуже од 12 месеци, а свака трећа дуже од 24 месеца и даље забрињава и упућује на потребу за ефикаснијом системском интервенцијом.</w:t>
      </w:r>
    </w:p>
    <w:p>
      <w:pPr>
        <w:pStyle w:val="BodyText"/>
        <w:spacing w:after="0"/>
        <w:sectPr>
          <w:pgSz w:w="12240" w:h="15840"/>
          <w:pgMar w:header="0" w:footer="702" w:top="1360" w:bottom="900" w:left="1080" w:right="720"/>
        </w:sectPr>
      </w:pPr>
    </w:p>
    <w:p>
      <w:pPr>
        <w:pStyle w:val="BodyText"/>
        <w:spacing w:before="72"/>
        <w:ind w:right="715" w:firstLine="719"/>
      </w:pPr>
      <w:r>
        <w:rPr/>
        <w:t>У циљу уклањања баријера које стоје између младих и тржишта рада потребно је осигурати сарадњу више сектора, јер су узроци њиховог заостајања на тржишту рада у ширем кругу политике запошљавања - дуалном карактеру тржиштa рада са процватом несигурних</w:t>
      </w:r>
      <w:r>
        <w:rPr>
          <w:spacing w:val="-9"/>
        </w:rPr>
        <w:t> </w:t>
      </w:r>
      <w:r>
        <w:rPr/>
        <w:t>и</w:t>
      </w:r>
      <w:r>
        <w:rPr>
          <w:spacing w:val="-7"/>
        </w:rPr>
        <w:t> </w:t>
      </w:r>
      <w:r>
        <w:rPr/>
        <w:t>прекарних</w:t>
      </w:r>
      <w:r>
        <w:rPr>
          <w:spacing w:val="-6"/>
        </w:rPr>
        <w:t> </w:t>
      </w:r>
      <w:r>
        <w:rPr/>
        <w:t>радних</w:t>
      </w:r>
      <w:r>
        <w:rPr>
          <w:spacing w:val="-6"/>
        </w:rPr>
        <w:t> </w:t>
      </w:r>
      <w:r>
        <w:rPr/>
        <w:t>места</w:t>
      </w:r>
      <w:r>
        <w:rPr>
          <w:spacing w:val="-8"/>
        </w:rPr>
        <w:t> </w:t>
      </w:r>
      <w:r>
        <w:rPr/>
        <w:t>која</w:t>
      </w:r>
      <w:r>
        <w:rPr>
          <w:spacing w:val="-9"/>
        </w:rPr>
        <w:t> </w:t>
      </w:r>
      <w:r>
        <w:rPr/>
        <w:t>су</w:t>
      </w:r>
      <w:r>
        <w:rPr>
          <w:spacing w:val="-11"/>
        </w:rPr>
        <w:t> </w:t>
      </w:r>
      <w:r>
        <w:rPr/>
        <w:t>по</w:t>
      </w:r>
      <w:r>
        <w:rPr>
          <w:spacing w:val="-8"/>
        </w:rPr>
        <w:t> </w:t>
      </w:r>
      <w:r>
        <w:rPr/>
        <w:t>правилу</w:t>
      </w:r>
      <w:r>
        <w:rPr>
          <w:spacing w:val="-15"/>
        </w:rPr>
        <w:t> </w:t>
      </w:r>
      <w:r>
        <w:rPr/>
        <w:t>обесхрабрујући</w:t>
      </w:r>
      <w:r>
        <w:rPr>
          <w:spacing w:val="-7"/>
        </w:rPr>
        <w:t> </w:t>
      </w:r>
      <w:r>
        <w:rPr/>
        <w:t>„улазниˮ</w:t>
      </w:r>
      <w:r>
        <w:rPr>
          <w:spacing w:val="-9"/>
        </w:rPr>
        <w:t> </w:t>
      </w:r>
      <w:r>
        <w:rPr/>
        <w:t>послови за младе, у</w:t>
      </w:r>
      <w:r>
        <w:rPr>
          <w:spacing w:val="-5"/>
        </w:rPr>
        <w:t> </w:t>
      </w:r>
      <w:r>
        <w:rPr/>
        <w:t>образовном систему, систему социјалних давања који децу</w:t>
      </w:r>
      <w:r>
        <w:rPr>
          <w:spacing w:val="-3"/>
        </w:rPr>
        <w:t> </w:t>
      </w:r>
      <w:r>
        <w:rPr/>
        <w:t>и младе константно чини деловима становништва са највећом изложеношћу сиромаштву као и систему опорезивања рада (укључујући и доприносе за обавезно социјално осигурање) који је компаративно међу најмање прогресивним у односу на друге европске земље, што више погађа</w:t>
      </w:r>
      <w:r>
        <w:rPr>
          <w:spacing w:val="-11"/>
        </w:rPr>
        <w:t> </w:t>
      </w:r>
      <w:r>
        <w:rPr/>
        <w:t>младе</w:t>
      </w:r>
      <w:r>
        <w:rPr>
          <w:spacing w:val="-10"/>
        </w:rPr>
        <w:t> </w:t>
      </w:r>
      <w:r>
        <w:rPr/>
        <w:t>који</w:t>
      </w:r>
      <w:r>
        <w:rPr>
          <w:spacing w:val="-8"/>
        </w:rPr>
        <w:t> </w:t>
      </w:r>
      <w:r>
        <w:rPr/>
        <w:t>по</w:t>
      </w:r>
      <w:r>
        <w:rPr>
          <w:spacing w:val="-10"/>
        </w:rPr>
        <w:t> </w:t>
      </w:r>
      <w:r>
        <w:rPr/>
        <w:t>правилу</w:t>
      </w:r>
      <w:r>
        <w:rPr>
          <w:spacing w:val="-13"/>
        </w:rPr>
        <w:t> </w:t>
      </w:r>
      <w:r>
        <w:rPr/>
        <w:t>зарађују</w:t>
      </w:r>
      <w:r>
        <w:rPr>
          <w:spacing w:val="-11"/>
        </w:rPr>
        <w:t> </w:t>
      </w:r>
      <w:r>
        <w:rPr/>
        <w:t>мање,</w:t>
      </w:r>
      <w:r>
        <w:rPr>
          <w:spacing w:val="-10"/>
        </w:rPr>
        <w:t> </w:t>
      </w:r>
      <w:r>
        <w:rPr/>
        <w:t>и</w:t>
      </w:r>
      <w:r>
        <w:rPr>
          <w:spacing w:val="-9"/>
        </w:rPr>
        <w:t> </w:t>
      </w:r>
      <w:r>
        <w:rPr/>
        <w:t>у</w:t>
      </w:r>
      <w:r>
        <w:rPr>
          <w:spacing w:val="-11"/>
        </w:rPr>
        <w:t> </w:t>
      </w:r>
      <w:r>
        <w:rPr/>
        <w:t>коме</w:t>
      </w:r>
      <w:r>
        <w:rPr>
          <w:spacing w:val="-11"/>
        </w:rPr>
        <w:t> </w:t>
      </w:r>
      <w:r>
        <w:rPr/>
        <w:t>нема</w:t>
      </w:r>
      <w:r>
        <w:rPr>
          <w:spacing w:val="-11"/>
        </w:rPr>
        <w:t> </w:t>
      </w:r>
      <w:r>
        <w:rPr/>
        <w:t>одбитака</w:t>
      </w:r>
      <w:r>
        <w:rPr>
          <w:spacing w:val="-10"/>
        </w:rPr>
        <w:t> </w:t>
      </w:r>
      <w:r>
        <w:rPr/>
        <w:t>за</w:t>
      </w:r>
      <w:r>
        <w:rPr>
          <w:spacing w:val="-11"/>
        </w:rPr>
        <w:t> </w:t>
      </w:r>
      <w:r>
        <w:rPr/>
        <w:t>издржаване</w:t>
      </w:r>
      <w:r>
        <w:rPr>
          <w:spacing w:val="-11"/>
        </w:rPr>
        <w:t> </w:t>
      </w:r>
      <w:r>
        <w:rPr/>
        <w:t>чланове породице. Имајући у виду ове и друге системске препреке бољим перформансама младих на</w:t>
      </w:r>
      <w:r>
        <w:rPr>
          <w:spacing w:val="-4"/>
        </w:rPr>
        <w:t> </w:t>
      </w:r>
      <w:r>
        <w:rPr/>
        <w:t>тржишту</w:t>
      </w:r>
      <w:r>
        <w:rPr>
          <w:spacing w:val="-11"/>
        </w:rPr>
        <w:t> </w:t>
      </w:r>
      <w:r>
        <w:rPr/>
        <w:t>рада,</w:t>
      </w:r>
      <w:r>
        <w:rPr>
          <w:spacing w:val="-3"/>
        </w:rPr>
        <w:t> </w:t>
      </w:r>
      <w:r>
        <w:rPr/>
        <w:t>као</w:t>
      </w:r>
      <w:r>
        <w:rPr>
          <w:spacing w:val="-3"/>
        </w:rPr>
        <w:t> </w:t>
      </w:r>
      <w:r>
        <w:rPr/>
        <w:t>и</w:t>
      </w:r>
      <w:r>
        <w:rPr>
          <w:spacing w:val="-5"/>
        </w:rPr>
        <w:t> </w:t>
      </w:r>
      <w:r>
        <w:rPr/>
        <w:t>опредељење</w:t>
      </w:r>
      <w:r>
        <w:rPr>
          <w:spacing w:val="-2"/>
        </w:rPr>
        <w:t> </w:t>
      </w:r>
      <w:r>
        <w:rPr/>
        <w:t>Србије</w:t>
      </w:r>
      <w:r>
        <w:rPr>
          <w:spacing w:val="-3"/>
        </w:rPr>
        <w:t> </w:t>
      </w:r>
      <w:r>
        <w:rPr/>
        <w:t>за</w:t>
      </w:r>
      <w:r>
        <w:rPr>
          <w:spacing w:val="-7"/>
        </w:rPr>
        <w:t> </w:t>
      </w:r>
      <w:r>
        <w:rPr/>
        <w:t>даље</w:t>
      </w:r>
      <w:r>
        <w:rPr>
          <w:spacing w:val="-4"/>
        </w:rPr>
        <w:t> </w:t>
      </w:r>
      <w:r>
        <w:rPr/>
        <w:t>постепено</w:t>
      </w:r>
      <w:r>
        <w:rPr>
          <w:spacing w:val="-3"/>
        </w:rPr>
        <w:t> </w:t>
      </w:r>
      <w:r>
        <w:rPr/>
        <w:t>фискално</w:t>
      </w:r>
      <w:r>
        <w:rPr>
          <w:spacing w:val="-3"/>
        </w:rPr>
        <w:t> </w:t>
      </w:r>
      <w:r>
        <w:rPr/>
        <w:t>растерећење</w:t>
      </w:r>
      <w:r>
        <w:rPr>
          <w:spacing w:val="-4"/>
        </w:rPr>
        <w:t> </w:t>
      </w:r>
      <w:r>
        <w:rPr/>
        <w:t>рада, потребно је усмерити фискално растерећење у наредних пар година управо на младе.</w:t>
      </w:r>
    </w:p>
    <w:p>
      <w:pPr>
        <w:pStyle w:val="BodyText"/>
        <w:spacing w:before="121"/>
        <w:ind w:right="719" w:firstLine="719"/>
      </w:pPr>
      <w:r>
        <w:rPr/>
        <w:t>Недостатак радног искуства, једна је од најчешћих препрека за запошљавање младих, тако да је</w:t>
      </w:r>
      <w:r>
        <w:rPr>
          <w:spacing w:val="40"/>
        </w:rPr>
        <w:t> </w:t>
      </w:r>
      <w:r>
        <w:rPr/>
        <w:t>младима неопходно омогућити да још током процеса формалног образовања</w:t>
      </w:r>
      <w:r>
        <w:rPr>
          <w:spacing w:val="-4"/>
        </w:rPr>
        <w:t> </w:t>
      </w:r>
      <w:r>
        <w:rPr/>
        <w:t>остваре</w:t>
      </w:r>
      <w:r>
        <w:rPr>
          <w:spacing w:val="-4"/>
        </w:rPr>
        <w:t> </w:t>
      </w:r>
      <w:r>
        <w:rPr/>
        <w:t>одређени</w:t>
      </w:r>
      <w:r>
        <w:rPr>
          <w:spacing w:val="-3"/>
        </w:rPr>
        <w:t> </w:t>
      </w:r>
      <w:r>
        <w:rPr/>
        <w:t>контакт</w:t>
      </w:r>
      <w:r>
        <w:rPr>
          <w:spacing w:val="-2"/>
        </w:rPr>
        <w:t> </w:t>
      </w:r>
      <w:r>
        <w:rPr/>
        <w:t>са</w:t>
      </w:r>
      <w:r>
        <w:rPr>
          <w:spacing w:val="-4"/>
        </w:rPr>
        <w:t> </w:t>
      </w:r>
      <w:r>
        <w:rPr/>
        <w:t>тржиштем</w:t>
      </w:r>
      <w:r>
        <w:rPr>
          <w:spacing w:val="-4"/>
        </w:rPr>
        <w:t> </w:t>
      </w:r>
      <w:r>
        <w:rPr/>
        <w:t>рада,</w:t>
      </w:r>
      <w:r>
        <w:rPr>
          <w:spacing w:val="-1"/>
        </w:rPr>
        <w:t> </w:t>
      </w:r>
      <w:r>
        <w:rPr/>
        <w:t>али</w:t>
      </w:r>
      <w:r>
        <w:rPr>
          <w:spacing w:val="-2"/>
        </w:rPr>
        <w:t> </w:t>
      </w:r>
      <w:r>
        <w:rPr/>
        <w:t>и</w:t>
      </w:r>
      <w:r>
        <w:rPr>
          <w:spacing w:val="-3"/>
        </w:rPr>
        <w:t> </w:t>
      </w:r>
      <w:r>
        <w:rPr/>
        <w:t>подржати улазак</w:t>
      </w:r>
      <w:r>
        <w:rPr>
          <w:spacing w:val="-3"/>
        </w:rPr>
        <w:t> </w:t>
      </w:r>
      <w:r>
        <w:rPr/>
        <w:t>младих</w:t>
      </w:r>
      <w:r>
        <w:rPr>
          <w:spacing w:val="-1"/>
        </w:rPr>
        <w:t> </w:t>
      </w:r>
      <w:r>
        <w:rPr/>
        <w:t>на тржиште рада кроз унапређење регулаторног оквира за облике рада које млади најчешће предузимају, увођење и формализацију радних пракси са једне стране, али и спречавање даљих</w:t>
      </w:r>
      <w:r>
        <w:rPr>
          <w:spacing w:val="-4"/>
        </w:rPr>
        <w:t> </w:t>
      </w:r>
      <w:r>
        <w:rPr/>
        <w:t>злоупотреба</w:t>
      </w:r>
      <w:r>
        <w:rPr>
          <w:spacing w:val="-4"/>
        </w:rPr>
        <w:t> </w:t>
      </w:r>
      <w:r>
        <w:rPr/>
        <w:t>ангажовања</w:t>
      </w:r>
      <w:r>
        <w:rPr>
          <w:spacing w:val="-4"/>
        </w:rPr>
        <w:t> </w:t>
      </w:r>
      <w:r>
        <w:rPr/>
        <w:t>младих</w:t>
      </w:r>
      <w:r>
        <w:rPr>
          <w:spacing w:val="-1"/>
        </w:rPr>
        <w:t> </w:t>
      </w:r>
      <w:r>
        <w:rPr/>
        <w:t>кроз уговоре</w:t>
      </w:r>
      <w:r>
        <w:rPr>
          <w:spacing w:val="-5"/>
        </w:rPr>
        <w:t> </w:t>
      </w:r>
      <w:r>
        <w:rPr/>
        <w:t>о</w:t>
      </w:r>
      <w:r>
        <w:rPr>
          <w:spacing w:val="-3"/>
        </w:rPr>
        <w:t> </w:t>
      </w:r>
      <w:r>
        <w:rPr/>
        <w:t>раду</w:t>
      </w:r>
      <w:r>
        <w:rPr>
          <w:spacing w:val="-6"/>
        </w:rPr>
        <w:t> </w:t>
      </w:r>
      <w:r>
        <w:rPr/>
        <w:t>ван</w:t>
      </w:r>
      <w:r>
        <w:rPr>
          <w:spacing w:val="-3"/>
        </w:rPr>
        <w:t> </w:t>
      </w:r>
      <w:r>
        <w:rPr/>
        <w:t>радног</w:t>
      </w:r>
      <w:r>
        <w:rPr>
          <w:spacing w:val="-4"/>
        </w:rPr>
        <w:t> </w:t>
      </w:r>
      <w:r>
        <w:rPr/>
        <w:t>односа</w:t>
      </w:r>
      <w:r>
        <w:rPr>
          <w:spacing w:val="-4"/>
        </w:rPr>
        <w:t> </w:t>
      </w:r>
      <w:r>
        <w:rPr/>
        <w:t>које</w:t>
      </w:r>
      <w:r>
        <w:rPr>
          <w:spacing w:val="-3"/>
        </w:rPr>
        <w:t> </w:t>
      </w:r>
      <w:r>
        <w:rPr/>
        <w:t>познаје Закон о раду, противно намени и трајању таквих уговора.</w:t>
      </w:r>
    </w:p>
    <w:p>
      <w:pPr>
        <w:pStyle w:val="BodyText"/>
        <w:spacing w:before="120"/>
        <w:ind w:right="715" w:firstLine="719"/>
      </w:pPr>
      <w:r>
        <w:rPr/>
        <w:t>Теми предузетништва младих je такође потребно приступити системски, како би се вероватноћа</w:t>
      </w:r>
      <w:r>
        <w:rPr>
          <w:spacing w:val="-3"/>
        </w:rPr>
        <w:t> </w:t>
      </w:r>
      <w:r>
        <w:rPr/>
        <w:t>да</w:t>
      </w:r>
      <w:r>
        <w:rPr>
          <w:spacing w:val="-3"/>
        </w:rPr>
        <w:t> </w:t>
      </w:r>
      <w:r>
        <w:rPr/>
        <w:t>оно</w:t>
      </w:r>
      <w:r>
        <w:rPr>
          <w:spacing w:val="-2"/>
        </w:rPr>
        <w:t> </w:t>
      </w:r>
      <w:r>
        <w:rPr/>
        <w:t>генерише</w:t>
      </w:r>
      <w:r>
        <w:rPr>
          <w:spacing w:val="-3"/>
        </w:rPr>
        <w:t> </w:t>
      </w:r>
      <w:r>
        <w:rPr/>
        <w:t>рањиву</w:t>
      </w:r>
      <w:r>
        <w:rPr>
          <w:spacing w:val="-7"/>
        </w:rPr>
        <w:t> </w:t>
      </w:r>
      <w:r>
        <w:rPr/>
        <w:t>запосленост</w:t>
      </w:r>
      <w:r>
        <w:rPr>
          <w:spacing w:val="-2"/>
        </w:rPr>
        <w:t> </w:t>
      </w:r>
      <w:r>
        <w:rPr/>
        <w:t>смањила</w:t>
      </w:r>
      <w:r>
        <w:rPr>
          <w:spacing w:val="-3"/>
        </w:rPr>
        <w:t> </w:t>
      </w:r>
      <w:r>
        <w:rPr/>
        <w:t>на</w:t>
      </w:r>
      <w:r>
        <w:rPr>
          <w:spacing w:val="-3"/>
        </w:rPr>
        <w:t> </w:t>
      </w:r>
      <w:r>
        <w:rPr/>
        <w:t>најмању</w:t>
      </w:r>
      <w:r>
        <w:rPr>
          <w:spacing w:val="-5"/>
        </w:rPr>
        <w:t> </w:t>
      </w:r>
      <w:r>
        <w:rPr/>
        <w:t>могућу</w:t>
      </w:r>
      <w:r>
        <w:rPr>
          <w:spacing w:val="-5"/>
        </w:rPr>
        <w:t> </w:t>
      </w:r>
      <w:r>
        <w:rPr/>
        <w:t>меру</w:t>
      </w:r>
      <w:r>
        <w:rPr>
          <w:spacing w:val="-7"/>
        </w:rPr>
        <w:t> </w:t>
      </w:r>
      <w:r>
        <w:rPr/>
        <w:t>и</w:t>
      </w:r>
      <w:r>
        <w:rPr>
          <w:spacing w:val="-2"/>
        </w:rPr>
        <w:t> </w:t>
      </w:r>
      <w:r>
        <w:rPr/>
        <w:t>како би покретање сопственог посла постала реална опција за квалитетно запослење младих. Системски приступ подразумева доступност специјализованих предузетничких едукативних програма и снажне менторске подршке у првим годинама пословања, али и достпуност различитих извора финансијске подршке. У свим системским интервенцијама које су усмерене ка младима, треба узети у обзир родну димензију, која се код младих манифестује кроз велики родни јаз између младих мушкараца и младих жена, где жене знатно заостају иза својих мушких вршњака и у мањој мери осећају укупно побољшање положаја на тржишту рада старосне категорије којој припадају. Такође, посебну пажњу је потребно</w:t>
      </w:r>
      <w:r>
        <w:rPr>
          <w:spacing w:val="-6"/>
        </w:rPr>
        <w:t> </w:t>
      </w:r>
      <w:r>
        <w:rPr/>
        <w:t>обратити</w:t>
      </w:r>
      <w:r>
        <w:rPr>
          <w:spacing w:val="-5"/>
        </w:rPr>
        <w:t> </w:t>
      </w:r>
      <w:r>
        <w:rPr/>
        <w:t>на</w:t>
      </w:r>
      <w:r>
        <w:rPr>
          <w:spacing w:val="-7"/>
        </w:rPr>
        <w:t> </w:t>
      </w:r>
      <w:r>
        <w:rPr/>
        <w:t>младе</w:t>
      </w:r>
      <w:r>
        <w:rPr>
          <w:spacing w:val="-7"/>
        </w:rPr>
        <w:t> </w:t>
      </w:r>
      <w:r>
        <w:rPr/>
        <w:t>који</w:t>
      </w:r>
      <w:r>
        <w:rPr>
          <w:spacing w:val="-4"/>
        </w:rPr>
        <w:t> </w:t>
      </w:r>
      <w:r>
        <w:rPr/>
        <w:t>су</w:t>
      </w:r>
      <w:r>
        <w:rPr>
          <w:spacing w:val="-13"/>
        </w:rPr>
        <w:t> </w:t>
      </w:r>
      <w:r>
        <w:rPr/>
        <w:t>неквалификовани</w:t>
      </w:r>
      <w:r>
        <w:rPr>
          <w:spacing w:val="-7"/>
        </w:rPr>
        <w:t> </w:t>
      </w:r>
      <w:r>
        <w:rPr/>
        <w:t>или</w:t>
      </w:r>
      <w:r>
        <w:rPr>
          <w:spacing w:val="-7"/>
        </w:rPr>
        <w:t> </w:t>
      </w:r>
      <w:r>
        <w:rPr/>
        <w:t>са</w:t>
      </w:r>
      <w:r>
        <w:rPr>
          <w:spacing w:val="-7"/>
        </w:rPr>
        <w:t> </w:t>
      </w:r>
      <w:r>
        <w:rPr/>
        <w:t>ниским</w:t>
      </w:r>
      <w:r>
        <w:rPr>
          <w:spacing w:val="-7"/>
        </w:rPr>
        <w:t> </w:t>
      </w:r>
      <w:r>
        <w:rPr/>
        <w:t>квалификацијама</w:t>
      </w:r>
      <w:r>
        <w:rPr>
          <w:spacing w:val="-7"/>
        </w:rPr>
        <w:t> </w:t>
      </w:r>
      <w:r>
        <w:rPr/>
        <w:t>(без завршене средње школе), јер се они налазе у тежој ситуацији у односу на младе са вишим нивоима образовања, што се види и из структуре евиденције незапослених лица НСЗ, где расте учешће управо ове категорије младих у односу на укупан број младих, будући да их тржиште знатно спорије апсорбује.</w:t>
      </w:r>
    </w:p>
    <w:p>
      <w:pPr>
        <w:pStyle w:val="BodyText"/>
        <w:spacing w:before="121"/>
        <w:ind w:right="719" w:firstLine="719"/>
      </w:pPr>
      <w:r>
        <w:rPr/>
        <w:t>Програм Гаранција за младе који се спроводи у</w:t>
      </w:r>
      <w:r>
        <w:rPr>
          <w:spacing w:val="-4"/>
        </w:rPr>
        <w:t> </w:t>
      </w:r>
      <w:r>
        <w:rPr/>
        <w:t>државама чланицама ЕУ, пример је интервенције у оквиру које се младима који су неактивни и незапослени приступа кроз сарадњу различитих сектора и социјалних партнера, укључујући и организације цивилног друштва, а у циљу дугорочно одрживе интеграције на тржиште рада. У циљу унапређења положаја младих на тржишту рада у Србији, у наредном периоду ће се радити на увођењу овог програма или неких његовох делова.</w:t>
      </w:r>
    </w:p>
    <w:p>
      <w:pPr>
        <w:pStyle w:val="BodyText"/>
        <w:spacing w:before="121"/>
        <w:ind w:right="712" w:firstLine="719"/>
      </w:pPr>
      <w:r>
        <w:rPr/>
        <w:t>Гаранцијa за младе подразумева да млади до 25</w:t>
      </w:r>
      <w:r>
        <w:rPr>
          <w:vertAlign w:val="superscript"/>
        </w:rPr>
        <w:t>40</w:t>
      </w:r>
      <w:r>
        <w:rPr>
          <w:vertAlign w:val="baseline"/>
        </w:rPr>
        <w:t> година старости добијају понуду за посао,</w:t>
      </w:r>
      <w:r>
        <w:rPr>
          <w:spacing w:val="4"/>
          <w:vertAlign w:val="baseline"/>
        </w:rPr>
        <w:t> </w:t>
      </w:r>
      <w:r>
        <w:rPr>
          <w:vertAlign w:val="baseline"/>
        </w:rPr>
        <w:t>наставак</w:t>
      </w:r>
      <w:r>
        <w:rPr>
          <w:spacing w:val="4"/>
          <w:vertAlign w:val="baseline"/>
        </w:rPr>
        <w:t> </w:t>
      </w:r>
      <w:r>
        <w:rPr>
          <w:vertAlign w:val="baseline"/>
        </w:rPr>
        <w:t>образовања,</w:t>
      </w:r>
      <w:r>
        <w:rPr>
          <w:spacing w:val="4"/>
          <w:vertAlign w:val="baseline"/>
        </w:rPr>
        <w:t> </w:t>
      </w:r>
      <w:r>
        <w:rPr>
          <w:vertAlign w:val="baseline"/>
        </w:rPr>
        <w:t>праксу</w:t>
      </w:r>
      <w:r>
        <w:rPr>
          <w:spacing w:val="-1"/>
          <w:vertAlign w:val="baseline"/>
        </w:rPr>
        <w:t> </w:t>
      </w:r>
      <w:r>
        <w:rPr>
          <w:vertAlign w:val="baseline"/>
        </w:rPr>
        <w:t>или</w:t>
      </w:r>
      <w:r>
        <w:rPr>
          <w:spacing w:val="4"/>
          <w:vertAlign w:val="baseline"/>
        </w:rPr>
        <w:t> </w:t>
      </w:r>
      <w:r>
        <w:rPr>
          <w:vertAlign w:val="baseline"/>
        </w:rPr>
        <w:t>обуку</w:t>
      </w:r>
      <w:r>
        <w:rPr>
          <w:spacing w:val="4"/>
          <w:vertAlign w:val="baseline"/>
        </w:rPr>
        <w:t> </w:t>
      </w:r>
      <w:r>
        <w:rPr>
          <w:vertAlign w:val="baseline"/>
        </w:rPr>
        <w:t>у</w:t>
      </w:r>
      <w:r>
        <w:rPr>
          <w:spacing w:val="-2"/>
          <w:vertAlign w:val="baseline"/>
        </w:rPr>
        <w:t> </w:t>
      </w:r>
      <w:r>
        <w:rPr>
          <w:vertAlign w:val="baseline"/>
        </w:rPr>
        <w:t>периоду</w:t>
      </w:r>
      <w:r>
        <w:rPr>
          <w:spacing w:val="-1"/>
          <w:vertAlign w:val="baseline"/>
        </w:rPr>
        <w:t> </w:t>
      </w:r>
      <w:r>
        <w:rPr>
          <w:vertAlign w:val="baseline"/>
        </w:rPr>
        <w:t>од</w:t>
      </w:r>
      <w:r>
        <w:rPr>
          <w:spacing w:val="7"/>
          <w:vertAlign w:val="baseline"/>
        </w:rPr>
        <w:t> </w:t>
      </w:r>
      <w:r>
        <w:rPr>
          <w:vertAlign w:val="baseline"/>
        </w:rPr>
        <w:t>4</w:t>
      </w:r>
      <w:r>
        <w:rPr>
          <w:spacing w:val="5"/>
          <w:vertAlign w:val="baseline"/>
        </w:rPr>
        <w:t> </w:t>
      </w:r>
      <w:r>
        <w:rPr>
          <w:vertAlign w:val="baseline"/>
        </w:rPr>
        <w:t>месеца</w:t>
      </w:r>
      <w:r>
        <w:rPr>
          <w:spacing w:val="3"/>
          <w:vertAlign w:val="baseline"/>
        </w:rPr>
        <w:t> </w:t>
      </w:r>
      <w:r>
        <w:rPr>
          <w:vertAlign w:val="baseline"/>
        </w:rPr>
        <w:t>од</w:t>
      </w:r>
      <w:r>
        <w:rPr>
          <w:spacing w:val="8"/>
          <w:vertAlign w:val="baseline"/>
        </w:rPr>
        <w:t> </w:t>
      </w:r>
      <w:r>
        <w:rPr>
          <w:vertAlign w:val="baseline"/>
        </w:rPr>
        <w:t>уласка</w:t>
      </w:r>
      <w:r>
        <w:rPr>
          <w:spacing w:val="10"/>
          <w:vertAlign w:val="baseline"/>
        </w:rPr>
        <w:t> </w:t>
      </w:r>
      <w:r>
        <w:rPr>
          <w:vertAlign w:val="baseline"/>
        </w:rPr>
        <w:t>у</w:t>
      </w:r>
      <w:r>
        <w:rPr>
          <w:spacing w:val="2"/>
          <w:vertAlign w:val="baseline"/>
        </w:rPr>
        <w:t> </w:t>
      </w:r>
      <w:r>
        <w:rPr>
          <w:spacing w:val="-2"/>
          <w:vertAlign w:val="baseline"/>
        </w:rPr>
        <w:t>статус</w:t>
      </w:r>
    </w:p>
    <w:p>
      <w:pPr>
        <w:pStyle w:val="BodyText"/>
        <w:spacing w:before="73"/>
        <w:ind w:left="0"/>
        <w:jc w:val="left"/>
        <w:rPr>
          <w:sz w:val="20"/>
        </w:rPr>
      </w:pPr>
      <w:r>
        <w:rPr>
          <w:sz w:val="20"/>
        </w:rPr>
        <mc:AlternateContent>
          <mc:Choice Requires="wps">
            <w:drawing>
              <wp:anchor distT="0" distB="0" distL="0" distR="0" allowOverlap="1" layoutInCell="1" locked="0" behindDoc="1" simplePos="0" relativeHeight="487602688">
                <wp:simplePos x="0" y="0"/>
                <wp:positionH relativeFrom="page">
                  <wp:posOffset>914704</wp:posOffset>
                </wp:positionH>
                <wp:positionV relativeFrom="paragraph">
                  <wp:posOffset>208015</wp:posOffset>
                </wp:positionV>
                <wp:extent cx="1829435" cy="9525"/>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379189pt;width:144.020pt;height:.72003pt;mso-position-horizontal-relative:page;mso-position-vertical-relative:paragraph;z-index:-15713792;mso-wrap-distance-left:0;mso-wrap-distance-right:0" id="docshape31" filled="true" fillcolor="#000000" stroked="false">
                <v:fill type="solid"/>
                <w10:wrap type="topAndBottom"/>
              </v:rect>
            </w:pict>
          </mc:Fallback>
        </mc:AlternateContent>
      </w:r>
    </w:p>
    <w:p>
      <w:pPr>
        <w:spacing w:line="242" w:lineRule="auto" w:before="121"/>
        <w:ind w:left="360" w:right="713" w:firstLine="0"/>
        <w:jc w:val="left"/>
        <w:rPr>
          <w:sz w:val="18"/>
        </w:rPr>
      </w:pPr>
      <w:r>
        <w:rPr>
          <w:rFonts w:ascii="Calibri" w:hAnsi="Calibri"/>
          <w:sz w:val="18"/>
          <w:vertAlign w:val="superscript"/>
        </w:rPr>
        <w:t>40</w:t>
      </w:r>
      <w:r>
        <w:rPr>
          <w:rFonts w:ascii="Calibri" w:hAnsi="Calibri"/>
          <w:sz w:val="18"/>
          <w:vertAlign w:val="baseline"/>
        </w:rPr>
        <w:t> </w:t>
      </w:r>
      <w:r>
        <w:rPr>
          <w:sz w:val="18"/>
          <w:vertAlign w:val="baseline"/>
        </w:rPr>
        <w:t>Препорука „Мост до послаˮ којом</w:t>
      </w:r>
      <w:r>
        <w:rPr>
          <w:spacing w:val="-1"/>
          <w:sz w:val="18"/>
          <w:vertAlign w:val="baseline"/>
        </w:rPr>
        <w:t> </w:t>
      </w:r>
      <w:r>
        <w:rPr>
          <w:sz w:val="18"/>
          <w:vertAlign w:val="baseline"/>
        </w:rPr>
        <w:t>се јача Гаранција за младе, због изазова насталих услед пандемије вируса Ковид 19, предвиђа укључивање младих до 30 година старости</w:t>
      </w:r>
    </w:p>
    <w:p>
      <w:pPr>
        <w:spacing w:after="0" w:line="242" w:lineRule="auto"/>
        <w:jc w:val="left"/>
        <w:rPr>
          <w:sz w:val="18"/>
        </w:rPr>
        <w:sectPr>
          <w:pgSz w:w="12240" w:h="15840"/>
          <w:pgMar w:header="0" w:footer="702" w:top="1360" w:bottom="900" w:left="1080" w:right="720"/>
        </w:sectPr>
      </w:pPr>
    </w:p>
    <w:p>
      <w:pPr>
        <w:pStyle w:val="BodyText"/>
        <w:spacing w:before="72"/>
        <w:ind w:right="718"/>
      </w:pPr>
      <w:r>
        <w:rPr/>
        <w:t>незапослености или напуштања, односно завршетка формалног образовања. Овај програм захтева стабилан систем за координацију политика, и то нарочито између институција задужених за образовање, запошљавање, социјалну заштиту и политика за младе, затим механизам за управљање који треба да усмерава активности на националном и локалном нивоу, као и опредељење надлежних институција да се спроведу неопходне структурне реформе</w:t>
      </w:r>
      <w:r>
        <w:rPr>
          <w:spacing w:val="-13"/>
        </w:rPr>
        <w:t> </w:t>
      </w:r>
      <w:r>
        <w:rPr/>
        <w:t>и</w:t>
      </w:r>
      <w:r>
        <w:rPr>
          <w:spacing w:val="-11"/>
        </w:rPr>
        <w:t> </w:t>
      </w:r>
      <w:r>
        <w:rPr/>
        <w:t>коначно,</w:t>
      </w:r>
      <w:r>
        <w:rPr>
          <w:spacing w:val="-14"/>
        </w:rPr>
        <w:t> </w:t>
      </w:r>
      <w:r>
        <w:rPr/>
        <w:t>значајне</w:t>
      </w:r>
      <w:r>
        <w:rPr>
          <w:spacing w:val="-13"/>
        </w:rPr>
        <w:t> </w:t>
      </w:r>
      <w:r>
        <w:rPr/>
        <w:t>људске</w:t>
      </w:r>
      <w:r>
        <w:rPr>
          <w:spacing w:val="-13"/>
        </w:rPr>
        <w:t> </w:t>
      </w:r>
      <w:r>
        <w:rPr/>
        <w:t>и</w:t>
      </w:r>
      <w:r>
        <w:rPr>
          <w:spacing w:val="-11"/>
        </w:rPr>
        <w:t> </w:t>
      </w:r>
      <w:r>
        <w:rPr/>
        <w:t>финансијске</w:t>
      </w:r>
      <w:r>
        <w:rPr>
          <w:spacing w:val="-12"/>
        </w:rPr>
        <w:t> </w:t>
      </w:r>
      <w:r>
        <w:rPr/>
        <w:t>ресурсе.</w:t>
      </w:r>
      <w:r>
        <w:rPr>
          <w:spacing w:val="-12"/>
        </w:rPr>
        <w:t> </w:t>
      </w:r>
      <w:r>
        <w:rPr/>
        <w:t>Највећи</w:t>
      </w:r>
      <w:r>
        <w:rPr>
          <w:spacing w:val="-11"/>
        </w:rPr>
        <w:t> </w:t>
      </w:r>
      <w:r>
        <w:rPr/>
        <w:t>део</w:t>
      </w:r>
      <w:r>
        <w:rPr>
          <w:spacing w:val="-12"/>
        </w:rPr>
        <w:t> </w:t>
      </w:r>
      <w:r>
        <w:rPr/>
        <w:t>терета</w:t>
      </w:r>
      <w:r>
        <w:rPr>
          <w:spacing w:val="-12"/>
        </w:rPr>
        <w:t> </w:t>
      </w:r>
      <w:r>
        <w:rPr/>
        <w:t>спровођења Гаранције</w:t>
      </w:r>
      <w:r>
        <w:rPr>
          <w:spacing w:val="-15"/>
        </w:rPr>
        <w:t> </w:t>
      </w:r>
      <w:r>
        <w:rPr/>
        <w:t>за</w:t>
      </w:r>
      <w:r>
        <w:rPr>
          <w:spacing w:val="-15"/>
        </w:rPr>
        <w:t> </w:t>
      </w:r>
      <w:r>
        <w:rPr/>
        <w:t>младе,</w:t>
      </w:r>
      <w:r>
        <w:rPr>
          <w:spacing w:val="-15"/>
        </w:rPr>
        <w:t> </w:t>
      </w:r>
      <w:r>
        <w:rPr/>
        <w:t>у</w:t>
      </w:r>
      <w:r>
        <w:rPr>
          <w:spacing w:val="-15"/>
        </w:rPr>
        <w:t> </w:t>
      </w:r>
      <w:r>
        <w:rPr/>
        <w:t>смислу</w:t>
      </w:r>
      <w:r>
        <w:rPr>
          <w:spacing w:val="-15"/>
        </w:rPr>
        <w:t> </w:t>
      </w:r>
      <w:r>
        <w:rPr/>
        <w:t>њене</w:t>
      </w:r>
      <w:r>
        <w:rPr>
          <w:spacing w:val="-15"/>
        </w:rPr>
        <w:t> </w:t>
      </w:r>
      <w:r>
        <w:rPr/>
        <w:t>координације,</w:t>
      </w:r>
      <w:r>
        <w:rPr>
          <w:spacing w:val="-15"/>
        </w:rPr>
        <w:t> </w:t>
      </w:r>
      <w:r>
        <w:rPr/>
        <w:t>реализације</w:t>
      </w:r>
      <w:r>
        <w:rPr>
          <w:spacing w:val="-15"/>
        </w:rPr>
        <w:t> </w:t>
      </w:r>
      <w:r>
        <w:rPr/>
        <w:t>и</w:t>
      </w:r>
      <w:r>
        <w:rPr>
          <w:spacing w:val="-15"/>
        </w:rPr>
        <w:t> </w:t>
      </w:r>
      <w:r>
        <w:rPr/>
        <w:t>праћења,</w:t>
      </w:r>
      <w:r>
        <w:rPr>
          <w:spacing w:val="-15"/>
        </w:rPr>
        <w:t> </w:t>
      </w:r>
      <w:r>
        <w:rPr/>
        <w:t>је</w:t>
      </w:r>
      <w:r>
        <w:rPr>
          <w:spacing w:val="-15"/>
        </w:rPr>
        <w:t> </w:t>
      </w:r>
      <w:r>
        <w:rPr/>
        <w:t>на</w:t>
      </w:r>
      <w:r>
        <w:rPr>
          <w:spacing w:val="-15"/>
        </w:rPr>
        <w:t> </w:t>
      </w:r>
      <w:r>
        <w:rPr/>
        <w:t>министарству надлежном за послове запошљавања и НСЗ. Гаранција за младе подразумева да се младој особи</w:t>
      </w:r>
      <w:r>
        <w:rPr>
          <w:spacing w:val="-4"/>
        </w:rPr>
        <w:t> </w:t>
      </w:r>
      <w:r>
        <w:rPr/>
        <w:t>пружи</w:t>
      </w:r>
      <w:r>
        <w:rPr>
          <w:spacing w:val="-4"/>
        </w:rPr>
        <w:t> </w:t>
      </w:r>
      <w:r>
        <w:rPr/>
        <w:t>квалитетна</w:t>
      </w:r>
      <w:r>
        <w:rPr>
          <w:spacing w:val="-6"/>
        </w:rPr>
        <w:t> </w:t>
      </w:r>
      <w:r>
        <w:rPr/>
        <w:t>понуда</w:t>
      </w:r>
      <w:r>
        <w:rPr>
          <w:spacing w:val="-1"/>
        </w:rPr>
        <w:t> </w:t>
      </w:r>
      <w:r>
        <w:rPr/>
        <w:t>у</w:t>
      </w:r>
      <w:r>
        <w:rPr>
          <w:spacing w:val="-10"/>
        </w:rPr>
        <w:t> </w:t>
      </w:r>
      <w:r>
        <w:rPr/>
        <w:t>року</w:t>
      </w:r>
      <w:r>
        <w:rPr>
          <w:spacing w:val="-10"/>
        </w:rPr>
        <w:t> </w:t>
      </w:r>
      <w:r>
        <w:rPr/>
        <w:t>од</w:t>
      </w:r>
      <w:r>
        <w:rPr>
          <w:spacing w:val="-5"/>
        </w:rPr>
        <w:t> </w:t>
      </w:r>
      <w:r>
        <w:rPr/>
        <w:t>4</w:t>
      </w:r>
      <w:r>
        <w:rPr>
          <w:spacing w:val="-5"/>
        </w:rPr>
        <w:t> </w:t>
      </w:r>
      <w:r>
        <w:rPr/>
        <w:t>месеца</w:t>
      </w:r>
      <w:r>
        <w:rPr>
          <w:spacing w:val="-6"/>
        </w:rPr>
        <w:t> </w:t>
      </w:r>
      <w:r>
        <w:rPr/>
        <w:t>од уласка</w:t>
      </w:r>
      <w:r>
        <w:rPr>
          <w:spacing w:val="-1"/>
        </w:rPr>
        <w:t> </w:t>
      </w:r>
      <w:r>
        <w:rPr/>
        <w:t>у</w:t>
      </w:r>
      <w:r>
        <w:rPr>
          <w:spacing w:val="-10"/>
        </w:rPr>
        <w:t> </w:t>
      </w:r>
      <w:r>
        <w:rPr/>
        <w:t>статус</w:t>
      </w:r>
      <w:r>
        <w:rPr>
          <w:spacing w:val="-3"/>
        </w:rPr>
        <w:t> </w:t>
      </w:r>
      <w:r>
        <w:rPr/>
        <w:t>незапослености,</w:t>
      </w:r>
      <w:r>
        <w:rPr>
          <w:spacing w:val="-5"/>
        </w:rPr>
        <w:t> </w:t>
      </w:r>
      <w:r>
        <w:rPr/>
        <w:t>што значи</w:t>
      </w:r>
      <w:r>
        <w:rPr>
          <w:spacing w:val="-3"/>
        </w:rPr>
        <w:t> </w:t>
      </w:r>
      <w:r>
        <w:rPr/>
        <w:t>да</w:t>
      </w:r>
      <w:r>
        <w:rPr>
          <w:spacing w:val="-4"/>
        </w:rPr>
        <w:t> </w:t>
      </w:r>
      <w:r>
        <w:rPr/>
        <w:t>НСЗ</w:t>
      </w:r>
      <w:r>
        <w:rPr>
          <w:spacing w:val="-6"/>
        </w:rPr>
        <w:t> </w:t>
      </w:r>
      <w:r>
        <w:rPr/>
        <w:t>треба</w:t>
      </w:r>
      <w:r>
        <w:rPr>
          <w:spacing w:val="-4"/>
        </w:rPr>
        <w:t> </w:t>
      </w:r>
      <w:r>
        <w:rPr/>
        <w:t>да</w:t>
      </w:r>
      <w:r>
        <w:rPr>
          <w:spacing w:val="-4"/>
        </w:rPr>
        <w:t> </w:t>
      </w:r>
      <w:r>
        <w:rPr/>
        <w:t>располаже</w:t>
      </w:r>
      <w:r>
        <w:rPr>
          <w:spacing w:val="-5"/>
        </w:rPr>
        <w:t> </w:t>
      </w:r>
      <w:r>
        <w:rPr/>
        <w:t>довољним</w:t>
      </w:r>
      <w:r>
        <w:rPr>
          <w:spacing w:val="-4"/>
        </w:rPr>
        <w:t> </w:t>
      </w:r>
      <w:r>
        <w:rPr/>
        <w:t>средствима</w:t>
      </w:r>
      <w:r>
        <w:rPr>
          <w:spacing w:val="-4"/>
        </w:rPr>
        <w:t> </w:t>
      </w:r>
      <w:r>
        <w:rPr/>
        <w:t>за</w:t>
      </w:r>
      <w:r>
        <w:rPr>
          <w:spacing w:val="-4"/>
        </w:rPr>
        <w:t> </w:t>
      </w:r>
      <w:r>
        <w:rPr/>
        <w:t>мере</w:t>
      </w:r>
      <w:r>
        <w:rPr>
          <w:spacing w:val="-4"/>
        </w:rPr>
        <w:t> </w:t>
      </w:r>
      <w:r>
        <w:rPr/>
        <w:t>АПЗ</w:t>
      </w:r>
      <w:r>
        <w:rPr>
          <w:spacing w:val="-2"/>
        </w:rPr>
        <w:t> </w:t>
      </w:r>
      <w:r>
        <w:rPr/>
        <w:t>како</w:t>
      </w:r>
      <w:r>
        <w:rPr>
          <w:spacing w:val="-3"/>
        </w:rPr>
        <w:t> </w:t>
      </w:r>
      <w:r>
        <w:rPr/>
        <w:t>би</w:t>
      </w:r>
      <w:r>
        <w:rPr>
          <w:spacing w:val="-4"/>
        </w:rPr>
        <w:t> </w:t>
      </w:r>
      <w:r>
        <w:rPr/>
        <w:t>се</w:t>
      </w:r>
      <w:r>
        <w:rPr>
          <w:spacing w:val="-4"/>
        </w:rPr>
        <w:t> </w:t>
      </w:r>
      <w:r>
        <w:rPr/>
        <w:t>омогућило да мере буду доступне током целе године, односно, са довољним бројем квалитетних слободних послова на које се млади упућују.</w:t>
      </w:r>
    </w:p>
    <w:p>
      <w:pPr>
        <w:pStyle w:val="BodyText"/>
        <w:spacing w:before="121"/>
        <w:ind w:right="714" w:firstLine="719"/>
      </w:pPr>
      <w:r>
        <w:rPr/>
        <w:t>Процена изводљивости увођења Гаранције за младе у Србији</w:t>
      </w:r>
      <w:r>
        <w:rPr>
          <w:vertAlign w:val="superscript"/>
        </w:rPr>
        <w:t>41</w:t>
      </w:r>
      <w:r>
        <w:rPr>
          <w:vertAlign w:val="baseline"/>
        </w:rPr>
        <w:t>, сагледавајући постојеће административне капацитете, указује да наведене институције - министарство надлежно за послове запошљавања и НСЗ, нису у могућности да делотворно управљају овако</w:t>
      </w:r>
      <w:r>
        <w:rPr>
          <w:spacing w:val="-11"/>
          <w:vertAlign w:val="baseline"/>
        </w:rPr>
        <w:t> </w:t>
      </w:r>
      <w:r>
        <w:rPr>
          <w:vertAlign w:val="baseline"/>
        </w:rPr>
        <w:t>сложеним</w:t>
      </w:r>
      <w:r>
        <w:rPr>
          <w:spacing w:val="-11"/>
          <w:vertAlign w:val="baseline"/>
        </w:rPr>
        <w:t> </w:t>
      </w:r>
      <w:r>
        <w:rPr>
          <w:vertAlign w:val="baseline"/>
        </w:rPr>
        <w:t>оквиром</w:t>
      </w:r>
      <w:r>
        <w:rPr>
          <w:spacing w:val="-11"/>
          <w:vertAlign w:val="baseline"/>
        </w:rPr>
        <w:t> </w:t>
      </w:r>
      <w:r>
        <w:rPr>
          <w:vertAlign w:val="baseline"/>
        </w:rPr>
        <w:t>запошљавања</w:t>
      </w:r>
      <w:r>
        <w:rPr>
          <w:spacing w:val="-12"/>
          <w:vertAlign w:val="baseline"/>
        </w:rPr>
        <w:t> </w:t>
      </w:r>
      <w:r>
        <w:rPr>
          <w:vertAlign w:val="baseline"/>
        </w:rPr>
        <w:t>младих.</w:t>
      </w:r>
      <w:r>
        <w:rPr>
          <w:spacing w:val="-8"/>
          <w:vertAlign w:val="baseline"/>
        </w:rPr>
        <w:t> </w:t>
      </w:r>
      <w:r>
        <w:rPr>
          <w:vertAlign w:val="baseline"/>
        </w:rPr>
        <w:t>Стога</w:t>
      </w:r>
      <w:r>
        <w:rPr>
          <w:spacing w:val="-11"/>
          <w:vertAlign w:val="baseline"/>
        </w:rPr>
        <w:t> </w:t>
      </w:r>
      <w:r>
        <w:rPr>
          <w:vertAlign w:val="baseline"/>
        </w:rPr>
        <w:t>је</w:t>
      </w:r>
      <w:r>
        <w:rPr>
          <w:spacing w:val="-11"/>
          <w:vertAlign w:val="baseline"/>
        </w:rPr>
        <w:t> </w:t>
      </w:r>
      <w:r>
        <w:rPr>
          <w:vertAlign w:val="baseline"/>
        </w:rPr>
        <w:t>препорука</w:t>
      </w:r>
      <w:r>
        <w:rPr>
          <w:spacing w:val="-10"/>
          <w:vertAlign w:val="baseline"/>
        </w:rPr>
        <w:t> </w:t>
      </w:r>
      <w:r>
        <w:rPr>
          <w:vertAlign w:val="baseline"/>
        </w:rPr>
        <w:t>МОР</w:t>
      </w:r>
      <w:r>
        <w:rPr>
          <w:spacing w:val="-10"/>
          <w:vertAlign w:val="baseline"/>
        </w:rPr>
        <w:t> </w:t>
      </w:r>
      <w:r>
        <w:rPr>
          <w:vertAlign w:val="baseline"/>
        </w:rPr>
        <w:t>да</w:t>
      </w:r>
      <w:r>
        <w:rPr>
          <w:spacing w:val="-11"/>
          <w:vertAlign w:val="baseline"/>
        </w:rPr>
        <w:t> </w:t>
      </w:r>
      <w:r>
        <w:rPr>
          <w:vertAlign w:val="baseline"/>
        </w:rPr>
        <w:t>се</w:t>
      </w:r>
      <w:r>
        <w:rPr>
          <w:spacing w:val="-12"/>
          <w:vertAlign w:val="baseline"/>
        </w:rPr>
        <w:t> </w:t>
      </w:r>
      <w:r>
        <w:rPr>
          <w:vertAlign w:val="baseline"/>
        </w:rPr>
        <w:t>прво</w:t>
      </w:r>
      <w:r>
        <w:rPr>
          <w:spacing w:val="-11"/>
          <w:vertAlign w:val="baseline"/>
        </w:rPr>
        <w:t> </w:t>
      </w:r>
      <w:r>
        <w:rPr>
          <w:vertAlign w:val="baseline"/>
        </w:rPr>
        <w:t>ради</w:t>
      </w:r>
      <w:r>
        <w:rPr>
          <w:spacing w:val="-12"/>
          <w:vertAlign w:val="baseline"/>
        </w:rPr>
        <w:t> </w:t>
      </w:r>
      <w:r>
        <w:rPr>
          <w:vertAlign w:val="baseline"/>
        </w:rPr>
        <w:t>на организационим</w:t>
      </w:r>
      <w:r>
        <w:rPr>
          <w:spacing w:val="-11"/>
          <w:vertAlign w:val="baseline"/>
        </w:rPr>
        <w:t> </w:t>
      </w:r>
      <w:r>
        <w:rPr>
          <w:vertAlign w:val="baseline"/>
        </w:rPr>
        <w:t>и</w:t>
      </w:r>
      <w:r>
        <w:rPr>
          <w:spacing w:val="-10"/>
          <w:vertAlign w:val="baseline"/>
        </w:rPr>
        <w:t> </w:t>
      </w:r>
      <w:r>
        <w:rPr>
          <w:vertAlign w:val="baseline"/>
        </w:rPr>
        <w:t>административним</w:t>
      </w:r>
      <w:r>
        <w:rPr>
          <w:spacing w:val="-11"/>
          <w:vertAlign w:val="baseline"/>
        </w:rPr>
        <w:t> </w:t>
      </w:r>
      <w:r>
        <w:rPr>
          <w:vertAlign w:val="baseline"/>
        </w:rPr>
        <w:t>изазовима</w:t>
      </w:r>
      <w:r>
        <w:rPr>
          <w:spacing w:val="-12"/>
          <w:vertAlign w:val="baseline"/>
        </w:rPr>
        <w:t> </w:t>
      </w:r>
      <w:r>
        <w:rPr>
          <w:vertAlign w:val="baseline"/>
        </w:rPr>
        <w:t>који</w:t>
      </w:r>
      <w:r>
        <w:rPr>
          <w:spacing w:val="-7"/>
          <w:vertAlign w:val="baseline"/>
        </w:rPr>
        <w:t> </w:t>
      </w:r>
      <w:r>
        <w:rPr>
          <w:vertAlign w:val="baseline"/>
        </w:rPr>
        <w:t>утичу</w:t>
      </w:r>
      <w:r>
        <w:rPr>
          <w:spacing w:val="-15"/>
          <w:vertAlign w:val="baseline"/>
        </w:rPr>
        <w:t> </w:t>
      </w:r>
      <w:r>
        <w:rPr>
          <w:vertAlign w:val="baseline"/>
        </w:rPr>
        <w:t>на</w:t>
      </w:r>
      <w:r>
        <w:rPr>
          <w:spacing w:val="-9"/>
          <w:vertAlign w:val="baseline"/>
        </w:rPr>
        <w:t> </w:t>
      </w:r>
      <w:r>
        <w:rPr>
          <w:vertAlign w:val="baseline"/>
        </w:rPr>
        <w:t>капацитете</w:t>
      </w:r>
      <w:r>
        <w:rPr>
          <w:spacing w:val="-11"/>
          <w:vertAlign w:val="baseline"/>
        </w:rPr>
        <w:t> </w:t>
      </w:r>
      <w:r>
        <w:rPr>
          <w:vertAlign w:val="baseline"/>
        </w:rPr>
        <w:t>обе</w:t>
      </w:r>
      <w:r>
        <w:rPr>
          <w:spacing w:val="-11"/>
          <w:vertAlign w:val="baseline"/>
        </w:rPr>
        <w:t> </w:t>
      </w:r>
      <w:r>
        <w:rPr>
          <w:vertAlign w:val="baseline"/>
        </w:rPr>
        <w:t>институције, а</w:t>
      </w:r>
      <w:r>
        <w:rPr>
          <w:spacing w:val="-15"/>
          <w:vertAlign w:val="baseline"/>
        </w:rPr>
        <w:t> </w:t>
      </w:r>
      <w:r>
        <w:rPr>
          <w:vertAlign w:val="baseline"/>
        </w:rPr>
        <w:t>након</w:t>
      </w:r>
      <w:r>
        <w:rPr>
          <w:spacing w:val="-11"/>
          <w:vertAlign w:val="baseline"/>
        </w:rPr>
        <w:t> </w:t>
      </w:r>
      <w:r>
        <w:rPr>
          <w:vertAlign w:val="baseline"/>
        </w:rPr>
        <w:t>тога</w:t>
      </w:r>
      <w:r>
        <w:rPr>
          <w:spacing w:val="-12"/>
          <w:vertAlign w:val="baseline"/>
        </w:rPr>
        <w:t> </w:t>
      </w:r>
      <w:r>
        <w:rPr>
          <w:vertAlign w:val="baseline"/>
        </w:rPr>
        <w:t>да</w:t>
      </w:r>
      <w:r>
        <w:rPr>
          <w:spacing w:val="-13"/>
          <w:vertAlign w:val="baseline"/>
        </w:rPr>
        <w:t> </w:t>
      </w:r>
      <w:r>
        <w:rPr>
          <w:vertAlign w:val="baseline"/>
        </w:rPr>
        <w:t>се</w:t>
      </w:r>
      <w:r>
        <w:rPr>
          <w:spacing w:val="-13"/>
          <w:vertAlign w:val="baseline"/>
        </w:rPr>
        <w:t> </w:t>
      </w:r>
      <w:r>
        <w:rPr>
          <w:vertAlign w:val="baseline"/>
        </w:rPr>
        <w:t>интервенција</w:t>
      </w:r>
      <w:r>
        <w:rPr>
          <w:spacing w:val="-13"/>
          <w:vertAlign w:val="baseline"/>
        </w:rPr>
        <w:t> </w:t>
      </w:r>
      <w:r>
        <w:rPr>
          <w:vertAlign w:val="baseline"/>
        </w:rPr>
        <w:t>пилотира</w:t>
      </w:r>
      <w:r>
        <w:rPr>
          <w:spacing w:val="-11"/>
          <w:vertAlign w:val="baseline"/>
        </w:rPr>
        <w:t> </w:t>
      </w:r>
      <w:r>
        <w:rPr>
          <w:vertAlign w:val="baseline"/>
        </w:rPr>
        <w:t>у</w:t>
      </w:r>
      <w:r>
        <w:rPr>
          <w:spacing w:val="-15"/>
          <w:vertAlign w:val="baseline"/>
        </w:rPr>
        <w:t> </w:t>
      </w:r>
      <w:r>
        <w:rPr>
          <w:vertAlign w:val="baseline"/>
        </w:rPr>
        <w:t>највише</w:t>
      </w:r>
      <w:r>
        <w:rPr>
          <w:spacing w:val="-13"/>
          <w:vertAlign w:val="baseline"/>
        </w:rPr>
        <w:t> </w:t>
      </w:r>
      <w:r>
        <w:rPr>
          <w:vertAlign w:val="baseline"/>
        </w:rPr>
        <w:t>три</w:t>
      </w:r>
      <w:r>
        <w:rPr>
          <w:spacing w:val="-10"/>
          <w:vertAlign w:val="baseline"/>
        </w:rPr>
        <w:t> </w:t>
      </w:r>
      <w:r>
        <w:rPr>
          <w:vertAlign w:val="baseline"/>
        </w:rPr>
        <w:t>филијале</w:t>
      </w:r>
      <w:r>
        <w:rPr>
          <w:spacing w:val="-13"/>
          <w:vertAlign w:val="baseline"/>
        </w:rPr>
        <w:t> </w:t>
      </w:r>
      <w:r>
        <w:rPr>
          <w:vertAlign w:val="baseline"/>
        </w:rPr>
        <w:t>НСЗ,</w:t>
      </w:r>
      <w:r>
        <w:rPr>
          <w:spacing w:val="-12"/>
          <w:vertAlign w:val="baseline"/>
        </w:rPr>
        <w:t> </w:t>
      </w:r>
      <w:r>
        <w:rPr>
          <w:vertAlign w:val="baseline"/>
        </w:rPr>
        <w:t>али</w:t>
      </w:r>
      <w:r>
        <w:rPr>
          <w:spacing w:val="-11"/>
          <w:vertAlign w:val="baseline"/>
        </w:rPr>
        <w:t> </w:t>
      </w:r>
      <w:r>
        <w:rPr>
          <w:vertAlign w:val="baseline"/>
        </w:rPr>
        <w:t>само</w:t>
      </w:r>
      <w:r>
        <w:rPr>
          <w:spacing w:val="-12"/>
          <w:vertAlign w:val="baseline"/>
        </w:rPr>
        <w:t> </w:t>
      </w:r>
      <w:r>
        <w:rPr>
          <w:vertAlign w:val="baseline"/>
        </w:rPr>
        <w:t>за</w:t>
      </w:r>
      <w:r>
        <w:rPr>
          <w:spacing w:val="-13"/>
          <w:vertAlign w:val="baseline"/>
        </w:rPr>
        <w:t> </w:t>
      </w:r>
      <w:r>
        <w:rPr>
          <w:vertAlign w:val="baseline"/>
        </w:rPr>
        <w:t>поједине елементе Гаранције за младе, као што су мере досезања и активације младих који су пасивни, а желе и могу да раде (outreach), а која може да се спроводи у сарадњи са организацијама</w:t>
      </w:r>
      <w:r>
        <w:rPr>
          <w:spacing w:val="-14"/>
          <w:vertAlign w:val="baseline"/>
        </w:rPr>
        <w:t> </w:t>
      </w:r>
      <w:r>
        <w:rPr>
          <w:vertAlign w:val="baseline"/>
        </w:rPr>
        <w:t>цивилног</w:t>
      </w:r>
      <w:r>
        <w:rPr>
          <w:spacing w:val="-13"/>
          <w:vertAlign w:val="baseline"/>
        </w:rPr>
        <w:t> </w:t>
      </w:r>
      <w:r>
        <w:rPr>
          <w:vertAlign w:val="baseline"/>
        </w:rPr>
        <w:t>друштва.</w:t>
      </w:r>
      <w:r>
        <w:rPr>
          <w:spacing w:val="-13"/>
          <w:vertAlign w:val="baseline"/>
        </w:rPr>
        <w:t> </w:t>
      </w:r>
      <w:r>
        <w:rPr>
          <w:vertAlign w:val="baseline"/>
        </w:rPr>
        <w:t>Млади</w:t>
      </w:r>
      <w:r>
        <w:rPr>
          <w:spacing w:val="-12"/>
          <w:vertAlign w:val="baseline"/>
        </w:rPr>
        <w:t> </w:t>
      </w:r>
      <w:r>
        <w:rPr>
          <w:vertAlign w:val="baseline"/>
        </w:rPr>
        <w:t>који</w:t>
      </w:r>
      <w:r>
        <w:rPr>
          <w:spacing w:val="-14"/>
          <w:vertAlign w:val="baseline"/>
        </w:rPr>
        <w:t> </w:t>
      </w:r>
      <w:r>
        <w:rPr>
          <w:vertAlign w:val="baseline"/>
        </w:rPr>
        <w:t>би</w:t>
      </w:r>
      <w:r>
        <w:rPr>
          <w:spacing w:val="-12"/>
          <w:vertAlign w:val="baseline"/>
        </w:rPr>
        <w:t> </w:t>
      </w:r>
      <w:r>
        <w:rPr>
          <w:vertAlign w:val="baseline"/>
        </w:rPr>
        <w:t>се</w:t>
      </w:r>
      <w:r>
        <w:rPr>
          <w:spacing w:val="-14"/>
          <w:vertAlign w:val="baseline"/>
        </w:rPr>
        <w:t> </w:t>
      </w:r>
      <w:r>
        <w:rPr>
          <w:vertAlign w:val="baseline"/>
        </w:rPr>
        <w:t>на</w:t>
      </w:r>
      <w:r>
        <w:rPr>
          <w:spacing w:val="-14"/>
          <w:vertAlign w:val="baseline"/>
        </w:rPr>
        <w:t> </w:t>
      </w:r>
      <w:r>
        <w:rPr>
          <w:vertAlign w:val="baseline"/>
        </w:rPr>
        <w:t>овај</w:t>
      </w:r>
      <w:r>
        <w:rPr>
          <w:spacing w:val="-13"/>
          <w:vertAlign w:val="baseline"/>
        </w:rPr>
        <w:t> </w:t>
      </w:r>
      <w:r>
        <w:rPr>
          <w:vertAlign w:val="baseline"/>
        </w:rPr>
        <w:t>начин</w:t>
      </w:r>
      <w:r>
        <w:rPr>
          <w:spacing w:val="-12"/>
          <w:vertAlign w:val="baseline"/>
        </w:rPr>
        <w:t> </w:t>
      </w:r>
      <w:r>
        <w:rPr>
          <w:vertAlign w:val="baseline"/>
        </w:rPr>
        <w:t>пријавили</w:t>
      </w:r>
      <w:r>
        <w:rPr>
          <w:spacing w:val="-12"/>
          <w:vertAlign w:val="baseline"/>
        </w:rPr>
        <w:t> </w:t>
      </w:r>
      <w:r>
        <w:rPr>
          <w:vertAlign w:val="baseline"/>
        </w:rPr>
        <w:t>на</w:t>
      </w:r>
      <w:r>
        <w:rPr>
          <w:spacing w:val="-14"/>
          <w:vertAlign w:val="baseline"/>
        </w:rPr>
        <w:t> </w:t>
      </w:r>
      <w:r>
        <w:rPr>
          <w:vertAlign w:val="baseline"/>
        </w:rPr>
        <w:t>евиденцију незапослених лица, добили би у НСЗ понуду за посао или за учешће у меру АПЗ. Такође, било би корисно да се у сврху пилотирања уведе систем за профилисање заснован на подацима,</w:t>
      </w:r>
      <w:r>
        <w:rPr>
          <w:spacing w:val="-6"/>
          <w:vertAlign w:val="baseline"/>
        </w:rPr>
        <w:t> </w:t>
      </w:r>
      <w:r>
        <w:rPr>
          <w:vertAlign w:val="baseline"/>
        </w:rPr>
        <w:t>а</w:t>
      </w:r>
      <w:r>
        <w:rPr>
          <w:spacing w:val="-7"/>
          <w:vertAlign w:val="baseline"/>
        </w:rPr>
        <w:t> </w:t>
      </w:r>
      <w:r>
        <w:rPr>
          <w:vertAlign w:val="baseline"/>
        </w:rPr>
        <w:t>оквир</w:t>
      </w:r>
      <w:r>
        <w:rPr>
          <w:spacing w:val="-6"/>
          <w:vertAlign w:val="baseline"/>
        </w:rPr>
        <w:t> </w:t>
      </w:r>
      <w:r>
        <w:rPr>
          <w:vertAlign w:val="baseline"/>
        </w:rPr>
        <w:t>праћења</w:t>
      </w:r>
      <w:r>
        <w:rPr>
          <w:spacing w:val="-7"/>
          <w:vertAlign w:val="baseline"/>
        </w:rPr>
        <w:t> </w:t>
      </w:r>
      <w:r>
        <w:rPr>
          <w:vertAlign w:val="baseline"/>
        </w:rPr>
        <w:t>прилагоди</w:t>
      </w:r>
      <w:r>
        <w:rPr>
          <w:spacing w:val="-5"/>
          <w:vertAlign w:val="baseline"/>
        </w:rPr>
        <w:t> </w:t>
      </w:r>
      <w:r>
        <w:rPr>
          <w:vertAlign w:val="baseline"/>
        </w:rPr>
        <w:t>тако</w:t>
      </w:r>
      <w:r>
        <w:rPr>
          <w:spacing w:val="-5"/>
          <w:vertAlign w:val="baseline"/>
        </w:rPr>
        <w:t> </w:t>
      </w:r>
      <w:r>
        <w:rPr>
          <w:vertAlign w:val="baseline"/>
        </w:rPr>
        <w:t>да</w:t>
      </w:r>
      <w:r>
        <w:rPr>
          <w:spacing w:val="-7"/>
          <w:vertAlign w:val="baseline"/>
        </w:rPr>
        <w:t> </w:t>
      </w:r>
      <w:r>
        <w:rPr>
          <w:vertAlign w:val="baseline"/>
        </w:rPr>
        <w:t>мери</w:t>
      </w:r>
      <w:r>
        <w:rPr>
          <w:spacing w:val="-5"/>
          <w:vertAlign w:val="baseline"/>
        </w:rPr>
        <w:t> </w:t>
      </w:r>
      <w:r>
        <w:rPr>
          <w:vertAlign w:val="baseline"/>
        </w:rPr>
        <w:t>директно</w:t>
      </w:r>
      <w:r>
        <w:rPr>
          <w:spacing w:val="-6"/>
          <w:vertAlign w:val="baseline"/>
        </w:rPr>
        <w:t> </w:t>
      </w:r>
      <w:r>
        <w:rPr>
          <w:vertAlign w:val="baseline"/>
        </w:rPr>
        <w:t>пружање</w:t>
      </w:r>
      <w:r>
        <w:rPr>
          <w:spacing w:val="-2"/>
          <w:vertAlign w:val="baseline"/>
        </w:rPr>
        <w:t> </w:t>
      </w:r>
      <w:r>
        <w:rPr>
          <w:vertAlign w:val="baseline"/>
        </w:rPr>
        <w:t>услуга</w:t>
      </w:r>
      <w:r>
        <w:rPr>
          <w:spacing w:val="-4"/>
          <w:vertAlign w:val="baseline"/>
        </w:rPr>
        <w:t> </w:t>
      </w:r>
      <w:r>
        <w:rPr>
          <w:vertAlign w:val="baseline"/>
        </w:rPr>
        <w:t>(улаз</w:t>
      </w:r>
      <w:r>
        <w:rPr>
          <w:spacing w:val="-5"/>
          <w:vertAlign w:val="baseline"/>
        </w:rPr>
        <w:t> </w:t>
      </w:r>
      <w:r>
        <w:rPr>
          <w:vertAlign w:val="baseline"/>
        </w:rPr>
        <w:t>и</w:t>
      </w:r>
      <w:r>
        <w:rPr>
          <w:spacing w:val="-5"/>
          <w:vertAlign w:val="baseline"/>
        </w:rPr>
        <w:t> </w:t>
      </w:r>
      <w:r>
        <w:rPr>
          <w:vertAlign w:val="baseline"/>
        </w:rPr>
        <w:t>излаз из</w:t>
      </w:r>
      <w:r>
        <w:rPr>
          <w:spacing w:val="-4"/>
          <w:vertAlign w:val="baseline"/>
        </w:rPr>
        <w:t> </w:t>
      </w:r>
      <w:r>
        <w:rPr>
          <w:vertAlign w:val="baseline"/>
        </w:rPr>
        <w:t>програма)</w:t>
      </w:r>
      <w:r>
        <w:rPr>
          <w:spacing w:val="-6"/>
          <w:vertAlign w:val="baseline"/>
        </w:rPr>
        <w:t> </w:t>
      </w:r>
      <w:r>
        <w:rPr>
          <w:vertAlign w:val="baseline"/>
        </w:rPr>
        <w:t>и</w:t>
      </w:r>
      <w:r>
        <w:rPr>
          <w:spacing w:val="-4"/>
          <w:vertAlign w:val="baseline"/>
        </w:rPr>
        <w:t> </w:t>
      </w:r>
      <w:r>
        <w:rPr>
          <w:vertAlign w:val="baseline"/>
        </w:rPr>
        <w:t>ситуацију</w:t>
      </w:r>
      <w:r>
        <w:rPr>
          <w:spacing w:val="-6"/>
          <w:vertAlign w:val="baseline"/>
        </w:rPr>
        <w:t> </w:t>
      </w:r>
      <w:r>
        <w:rPr>
          <w:vertAlign w:val="baseline"/>
        </w:rPr>
        <w:t>корисника</w:t>
      </w:r>
      <w:r>
        <w:rPr>
          <w:spacing w:val="-6"/>
          <w:vertAlign w:val="baseline"/>
        </w:rPr>
        <w:t> </w:t>
      </w:r>
      <w:r>
        <w:rPr>
          <w:vertAlign w:val="baseline"/>
        </w:rPr>
        <w:t>након</w:t>
      </w:r>
      <w:r>
        <w:rPr>
          <w:spacing w:val="-4"/>
          <w:vertAlign w:val="baseline"/>
        </w:rPr>
        <w:t> </w:t>
      </w:r>
      <w:r>
        <w:rPr>
          <w:vertAlign w:val="baseline"/>
        </w:rPr>
        <w:t>6,</w:t>
      </w:r>
      <w:r>
        <w:rPr>
          <w:spacing w:val="-5"/>
          <w:vertAlign w:val="baseline"/>
        </w:rPr>
        <w:t> </w:t>
      </w:r>
      <w:r>
        <w:rPr>
          <w:vertAlign w:val="baseline"/>
        </w:rPr>
        <w:t>12</w:t>
      </w:r>
      <w:r>
        <w:rPr>
          <w:spacing w:val="-5"/>
          <w:vertAlign w:val="baseline"/>
        </w:rPr>
        <w:t> </w:t>
      </w:r>
      <w:r>
        <w:rPr>
          <w:vertAlign w:val="baseline"/>
        </w:rPr>
        <w:t>и</w:t>
      </w:r>
      <w:r>
        <w:rPr>
          <w:spacing w:val="-4"/>
          <w:vertAlign w:val="baseline"/>
        </w:rPr>
        <w:t> </w:t>
      </w:r>
      <w:r>
        <w:rPr>
          <w:vertAlign w:val="baseline"/>
        </w:rPr>
        <w:t>18</w:t>
      </w:r>
      <w:r>
        <w:rPr>
          <w:spacing w:val="-5"/>
          <w:vertAlign w:val="baseline"/>
        </w:rPr>
        <w:t> </w:t>
      </w:r>
      <w:r>
        <w:rPr>
          <w:vertAlign w:val="baseline"/>
        </w:rPr>
        <w:t>месеци.</w:t>
      </w:r>
      <w:r>
        <w:rPr>
          <w:spacing w:val="-5"/>
          <w:vertAlign w:val="baseline"/>
        </w:rPr>
        <w:t> </w:t>
      </w:r>
      <w:r>
        <w:rPr>
          <w:vertAlign w:val="baseline"/>
        </w:rPr>
        <w:t>Овакво</w:t>
      </w:r>
      <w:r>
        <w:rPr>
          <w:spacing w:val="-5"/>
          <w:vertAlign w:val="baseline"/>
        </w:rPr>
        <w:t> </w:t>
      </w:r>
      <w:r>
        <w:rPr>
          <w:vertAlign w:val="baseline"/>
        </w:rPr>
        <w:t>пилотирање</w:t>
      </w:r>
      <w:r>
        <w:rPr>
          <w:spacing w:val="-6"/>
          <w:vertAlign w:val="baseline"/>
        </w:rPr>
        <w:t> </w:t>
      </w:r>
      <w:r>
        <w:rPr>
          <w:vertAlign w:val="baseline"/>
        </w:rPr>
        <w:t>би</w:t>
      </w:r>
      <w:r>
        <w:rPr>
          <w:spacing w:val="-4"/>
          <w:vertAlign w:val="baseline"/>
        </w:rPr>
        <w:t> </w:t>
      </w:r>
      <w:r>
        <w:rPr>
          <w:vertAlign w:val="baseline"/>
        </w:rPr>
        <w:t>такође омогућило прецизнију процену трошкова увођења комплетне Гаранције за младе.</w:t>
      </w:r>
    </w:p>
    <w:p>
      <w:pPr>
        <w:pStyle w:val="BodyText"/>
        <w:spacing w:before="121"/>
        <w:ind w:right="713" w:firstLine="719"/>
      </w:pPr>
      <w:r>
        <w:rPr/>
        <w:t>Како</w:t>
      </w:r>
      <w:r>
        <w:rPr>
          <w:spacing w:val="-11"/>
        </w:rPr>
        <w:t> </w:t>
      </w:r>
      <w:r>
        <w:rPr/>
        <w:t>би</w:t>
      </w:r>
      <w:r>
        <w:rPr>
          <w:spacing w:val="-12"/>
        </w:rPr>
        <w:t> </w:t>
      </w:r>
      <w:r>
        <w:rPr/>
        <w:t>Србија</w:t>
      </w:r>
      <w:r>
        <w:rPr>
          <w:spacing w:val="-11"/>
        </w:rPr>
        <w:t> </w:t>
      </w:r>
      <w:r>
        <w:rPr/>
        <w:t>могла</w:t>
      </w:r>
      <w:r>
        <w:rPr>
          <w:spacing w:val="-11"/>
        </w:rPr>
        <w:t> </w:t>
      </w:r>
      <w:r>
        <w:rPr/>
        <w:t>да</w:t>
      </w:r>
      <w:r>
        <w:rPr>
          <w:spacing w:val="-9"/>
        </w:rPr>
        <w:t> </w:t>
      </w:r>
      <w:r>
        <w:rPr/>
        <w:t>уведе</w:t>
      </w:r>
      <w:r>
        <w:rPr>
          <w:spacing w:val="-11"/>
        </w:rPr>
        <w:t> </w:t>
      </w:r>
      <w:r>
        <w:rPr/>
        <w:t>елементе</w:t>
      </w:r>
      <w:r>
        <w:rPr>
          <w:spacing w:val="-11"/>
        </w:rPr>
        <w:t> </w:t>
      </w:r>
      <w:r>
        <w:rPr/>
        <w:t>овог</w:t>
      </w:r>
      <w:r>
        <w:rPr>
          <w:spacing w:val="-11"/>
        </w:rPr>
        <w:t> </w:t>
      </w:r>
      <w:r>
        <w:rPr/>
        <w:t>програма</w:t>
      </w:r>
      <w:r>
        <w:rPr>
          <w:spacing w:val="-12"/>
        </w:rPr>
        <w:t> </w:t>
      </w:r>
      <w:r>
        <w:rPr/>
        <w:t>неопходно</w:t>
      </w:r>
      <w:r>
        <w:rPr>
          <w:spacing w:val="-13"/>
        </w:rPr>
        <w:t> </w:t>
      </w:r>
      <w:r>
        <w:rPr/>
        <w:t>је</w:t>
      </w:r>
      <w:r>
        <w:rPr>
          <w:spacing w:val="-11"/>
        </w:rPr>
        <w:t> </w:t>
      </w:r>
      <w:r>
        <w:rPr/>
        <w:t>да</w:t>
      </w:r>
      <w:r>
        <w:rPr>
          <w:spacing w:val="-12"/>
        </w:rPr>
        <w:t> </w:t>
      </w:r>
      <w:r>
        <w:rPr/>
        <w:t>се</w:t>
      </w:r>
      <w:r>
        <w:rPr>
          <w:spacing w:val="-12"/>
        </w:rPr>
        <w:t> </w:t>
      </w:r>
      <w:r>
        <w:rPr/>
        <w:t>претходно учине напори и испуне одређени предуслови са посебним акцентом на већа финансијска издавајања</w:t>
      </w:r>
      <w:r>
        <w:rPr>
          <w:spacing w:val="-15"/>
        </w:rPr>
        <w:t> </w:t>
      </w:r>
      <w:r>
        <w:rPr/>
        <w:t>(у</w:t>
      </w:r>
      <w:r>
        <w:rPr>
          <w:spacing w:val="-15"/>
        </w:rPr>
        <w:t> </w:t>
      </w:r>
      <w:r>
        <w:rPr/>
        <w:t>буџету</w:t>
      </w:r>
      <w:r>
        <w:rPr>
          <w:spacing w:val="-15"/>
        </w:rPr>
        <w:t> </w:t>
      </w:r>
      <w:r>
        <w:rPr/>
        <w:t>РС</w:t>
      </w:r>
      <w:r>
        <w:rPr>
          <w:spacing w:val="-15"/>
        </w:rPr>
        <w:t> </w:t>
      </w:r>
      <w:r>
        <w:rPr/>
        <w:t>и</w:t>
      </w:r>
      <w:r>
        <w:rPr>
          <w:spacing w:val="-15"/>
        </w:rPr>
        <w:t> </w:t>
      </w:r>
      <w:r>
        <w:rPr/>
        <w:t>кроз</w:t>
      </w:r>
      <w:r>
        <w:rPr>
          <w:spacing w:val="-15"/>
        </w:rPr>
        <w:t> </w:t>
      </w:r>
      <w:r>
        <w:rPr/>
        <w:t>друге</w:t>
      </w:r>
      <w:r>
        <w:rPr>
          <w:spacing w:val="-15"/>
        </w:rPr>
        <w:t> </w:t>
      </w:r>
      <w:r>
        <w:rPr/>
        <w:t>изворе</w:t>
      </w:r>
      <w:r>
        <w:rPr>
          <w:spacing w:val="-15"/>
        </w:rPr>
        <w:t> </w:t>
      </w:r>
      <w:r>
        <w:rPr/>
        <w:t>финансирања</w:t>
      </w:r>
      <w:r>
        <w:rPr>
          <w:spacing w:val="-15"/>
        </w:rPr>
        <w:t> </w:t>
      </w:r>
      <w:r>
        <w:rPr/>
        <w:t>будући</w:t>
      </w:r>
      <w:r>
        <w:rPr>
          <w:spacing w:val="-15"/>
        </w:rPr>
        <w:t> </w:t>
      </w:r>
      <w:r>
        <w:rPr/>
        <w:t>да</w:t>
      </w:r>
      <w:r>
        <w:rPr>
          <w:spacing w:val="-15"/>
        </w:rPr>
        <w:t> </w:t>
      </w:r>
      <w:r>
        <w:rPr/>
        <w:t>Србија</w:t>
      </w:r>
      <w:r>
        <w:rPr>
          <w:spacing w:val="-15"/>
        </w:rPr>
        <w:t> </w:t>
      </w:r>
      <w:r>
        <w:rPr/>
        <w:t>нема</w:t>
      </w:r>
      <w:r>
        <w:rPr>
          <w:spacing w:val="-15"/>
        </w:rPr>
        <w:t> </w:t>
      </w:r>
      <w:r>
        <w:rPr/>
        <w:t>могућност коришћења</w:t>
      </w:r>
      <w:r>
        <w:rPr>
          <w:spacing w:val="-5"/>
        </w:rPr>
        <w:t> </w:t>
      </w:r>
      <w:r>
        <w:rPr/>
        <w:t>средстава</w:t>
      </w:r>
      <w:r>
        <w:rPr>
          <w:spacing w:val="-3"/>
        </w:rPr>
        <w:t> </w:t>
      </w:r>
      <w:r>
        <w:rPr/>
        <w:t>Европског</w:t>
      </w:r>
      <w:r>
        <w:rPr>
          <w:spacing w:val="-5"/>
        </w:rPr>
        <w:t> </w:t>
      </w:r>
      <w:r>
        <w:rPr/>
        <w:t>социјалног</w:t>
      </w:r>
      <w:r>
        <w:rPr>
          <w:spacing w:val="-5"/>
        </w:rPr>
        <w:t> </w:t>
      </w:r>
      <w:r>
        <w:rPr/>
        <w:t>фонда),</w:t>
      </w:r>
      <w:r>
        <w:rPr>
          <w:spacing w:val="-4"/>
        </w:rPr>
        <w:t> </w:t>
      </w:r>
      <w:r>
        <w:rPr/>
        <w:t>оснаживање</w:t>
      </w:r>
      <w:r>
        <w:rPr>
          <w:spacing w:val="-5"/>
        </w:rPr>
        <w:t> </w:t>
      </w:r>
      <w:r>
        <w:rPr/>
        <w:t>капацитета</w:t>
      </w:r>
      <w:r>
        <w:rPr>
          <w:spacing w:val="-4"/>
        </w:rPr>
        <w:t> </w:t>
      </w:r>
      <w:r>
        <w:rPr/>
        <w:t>министарства надлежног за послове запошљавања као и НСЗ.</w:t>
      </w:r>
    </w:p>
    <w:p>
      <w:pPr>
        <w:pStyle w:val="BodyText"/>
        <w:spacing w:before="176" w:after="1"/>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77"/>
      </w:tblGrid>
      <w:tr>
        <w:trPr>
          <w:trHeight w:val="553" w:hRule="atLeast"/>
        </w:trPr>
        <w:tc>
          <w:tcPr>
            <w:tcW w:w="1956" w:type="dxa"/>
          </w:tcPr>
          <w:p>
            <w:pPr>
              <w:pStyle w:val="TableParagraph"/>
              <w:spacing w:before="81"/>
              <w:ind w:left="50"/>
              <w:rPr>
                <w:i/>
                <w:sz w:val="24"/>
              </w:rPr>
            </w:pPr>
            <w:r>
              <w:rPr>
                <w:i/>
                <w:sz w:val="24"/>
              </w:rPr>
              <w:t>Врста/тип</w:t>
            </w:r>
            <w:r>
              <w:rPr>
                <w:i/>
                <w:spacing w:val="-2"/>
                <w:sz w:val="24"/>
              </w:rPr>
              <w:t> </w:t>
            </w:r>
            <w:r>
              <w:rPr>
                <w:i/>
                <w:spacing w:val="-4"/>
                <w:sz w:val="24"/>
              </w:rPr>
              <w:t>мере</w:t>
            </w:r>
          </w:p>
        </w:tc>
        <w:tc>
          <w:tcPr>
            <w:tcW w:w="7277" w:type="dxa"/>
          </w:tcPr>
          <w:p>
            <w:pPr>
              <w:pStyle w:val="TableParagraph"/>
              <w:tabs>
                <w:tab w:pos="2044" w:val="left" w:leader="none"/>
                <w:tab w:pos="3735" w:val="left" w:leader="none"/>
                <w:tab w:pos="5424" w:val="left" w:leader="none"/>
              </w:tabs>
              <w:spacing w:line="266" w:lineRule="exact"/>
              <w:ind w:left="215"/>
              <w:rPr>
                <w:sz w:val="24"/>
              </w:rPr>
            </w:pPr>
            <w:r>
              <w:rPr>
                <w:spacing w:val="-2"/>
                <w:sz w:val="24"/>
              </w:rPr>
              <w:t>Комбинована:</w:t>
            </w:r>
            <w:r>
              <w:rPr>
                <w:sz w:val="24"/>
              </w:rPr>
              <w:tab/>
            </w:r>
            <w:r>
              <w:rPr>
                <w:spacing w:val="-2"/>
                <w:sz w:val="24"/>
              </w:rPr>
              <w:t>регулаторна;</w:t>
            </w:r>
            <w:r>
              <w:rPr>
                <w:sz w:val="24"/>
              </w:rPr>
              <w:tab/>
            </w:r>
            <w:r>
              <w:rPr>
                <w:spacing w:val="-2"/>
                <w:sz w:val="24"/>
              </w:rPr>
              <w:t>подстицајна;</w:t>
            </w:r>
            <w:r>
              <w:rPr>
                <w:sz w:val="24"/>
              </w:rPr>
              <w:tab/>
            </w:r>
            <w:r>
              <w:rPr>
                <w:spacing w:val="-2"/>
                <w:sz w:val="24"/>
              </w:rPr>
              <w:t>институционално</w:t>
            </w:r>
          </w:p>
          <w:p>
            <w:pPr>
              <w:pStyle w:val="TableParagraph"/>
              <w:spacing w:line="256" w:lineRule="exact" w:before="12"/>
              <w:ind w:left="215"/>
              <w:rPr>
                <w:sz w:val="24"/>
              </w:rPr>
            </w:pPr>
            <w:r>
              <w:rPr>
                <w:sz w:val="24"/>
              </w:rPr>
              <w:t>управљачко</w:t>
            </w:r>
            <w:r>
              <w:rPr>
                <w:spacing w:val="-4"/>
                <w:sz w:val="24"/>
              </w:rPr>
              <w:t> </w:t>
            </w:r>
            <w:r>
              <w:rPr>
                <w:sz w:val="24"/>
              </w:rPr>
              <w:t>организациона;</w:t>
            </w:r>
            <w:r>
              <w:rPr>
                <w:spacing w:val="-4"/>
                <w:sz w:val="24"/>
              </w:rPr>
              <w:t> </w:t>
            </w:r>
            <w:r>
              <w:rPr>
                <w:sz w:val="24"/>
              </w:rPr>
              <w:t>информативно</w:t>
            </w:r>
            <w:r>
              <w:rPr>
                <w:spacing w:val="-3"/>
                <w:sz w:val="24"/>
              </w:rPr>
              <w:t> </w:t>
            </w:r>
            <w:r>
              <w:rPr>
                <w:spacing w:val="-2"/>
                <w:sz w:val="24"/>
              </w:rPr>
              <w:t>едукативна</w:t>
            </w:r>
          </w:p>
        </w:tc>
      </w:tr>
    </w:tbl>
    <w:p>
      <w:pPr>
        <w:pStyle w:val="BodyText"/>
        <w:spacing w:before="142"/>
        <w:ind w:left="0"/>
        <w:jc w:val="left"/>
      </w:pPr>
    </w:p>
    <w:p>
      <w:pPr>
        <w:pStyle w:val="Heading2"/>
      </w:pPr>
      <w:r>
        <w:rPr/>
        <w:t>Мера</w:t>
      </w:r>
      <w:r>
        <w:rPr>
          <w:spacing w:val="-2"/>
        </w:rPr>
        <w:t> </w:t>
      </w:r>
      <w:r>
        <w:rPr/>
        <w:t>2.6.</w:t>
      </w:r>
      <w:r>
        <w:rPr>
          <w:spacing w:val="-2"/>
        </w:rPr>
        <w:t> </w:t>
      </w:r>
      <w:r>
        <w:rPr/>
        <w:t>Побољшање</w:t>
      </w:r>
      <w:r>
        <w:rPr>
          <w:spacing w:val="-1"/>
        </w:rPr>
        <w:t> </w:t>
      </w:r>
      <w:r>
        <w:rPr/>
        <w:t>положаја</w:t>
      </w:r>
      <w:r>
        <w:rPr>
          <w:spacing w:val="-2"/>
        </w:rPr>
        <w:t> </w:t>
      </w:r>
      <w:r>
        <w:rPr/>
        <w:t>особа</w:t>
      </w:r>
      <w:r>
        <w:rPr>
          <w:spacing w:val="-1"/>
        </w:rPr>
        <w:t> </w:t>
      </w:r>
      <w:r>
        <w:rPr/>
        <w:t>са</w:t>
      </w:r>
      <w:r>
        <w:rPr>
          <w:spacing w:val="-2"/>
        </w:rPr>
        <w:t> </w:t>
      </w:r>
      <w:r>
        <w:rPr/>
        <w:t>инвалидитетом</w:t>
      </w:r>
      <w:r>
        <w:rPr>
          <w:spacing w:val="-5"/>
        </w:rPr>
        <w:t> </w:t>
      </w:r>
      <w:r>
        <w:rPr/>
        <w:t>на</w:t>
      </w:r>
      <w:r>
        <w:rPr>
          <w:spacing w:val="-5"/>
        </w:rPr>
        <w:t> </w:t>
      </w:r>
      <w:r>
        <w:rPr/>
        <w:t>тржишту</w:t>
      </w:r>
      <w:r>
        <w:rPr>
          <w:spacing w:val="-1"/>
        </w:rPr>
        <w:t> </w:t>
      </w:r>
      <w:r>
        <w:rPr>
          <w:spacing w:val="-4"/>
        </w:rPr>
        <w:t>рада</w:t>
      </w:r>
    </w:p>
    <w:p>
      <w:pPr>
        <w:pStyle w:val="BodyText"/>
        <w:spacing w:before="36"/>
        <w:ind w:left="0"/>
        <w:jc w:val="left"/>
        <w:rPr>
          <w:b/>
        </w:rPr>
      </w:pPr>
    </w:p>
    <w:p>
      <w:pPr>
        <w:pStyle w:val="BodyText"/>
        <w:ind w:right="714" w:firstLine="719"/>
      </w:pPr>
      <w:r>
        <w:rPr/>
        <w:t>Побољшање свеукупног друштвеног и економског положаја ОСИ, односно равноправно учешће у социјално-интегративним процесима, условљено је нивоом њихове партиципације и положајем на тржишту</w:t>
      </w:r>
      <w:r>
        <w:rPr>
          <w:spacing w:val="-4"/>
        </w:rPr>
        <w:t> </w:t>
      </w:r>
      <w:r>
        <w:rPr/>
        <w:t>рада. Иако је у</w:t>
      </w:r>
      <w:r>
        <w:rPr>
          <w:spacing w:val="-2"/>
        </w:rPr>
        <w:t> </w:t>
      </w:r>
      <w:r>
        <w:rPr/>
        <w:t>претходном</w:t>
      </w:r>
      <w:r>
        <w:rPr>
          <w:spacing w:val="-1"/>
        </w:rPr>
        <w:t> </w:t>
      </w:r>
      <w:r>
        <w:rPr/>
        <w:t>периоду</w:t>
      </w:r>
      <w:r>
        <w:rPr>
          <w:spacing w:val="-2"/>
        </w:rPr>
        <w:t> </w:t>
      </w:r>
      <w:r>
        <w:rPr/>
        <w:t>(превасходно усвајањем</w:t>
      </w:r>
      <w:r>
        <w:rPr>
          <w:spacing w:val="-10"/>
        </w:rPr>
        <w:t> </w:t>
      </w:r>
      <w:r>
        <w:rPr/>
        <w:t>Закона</w:t>
      </w:r>
      <w:r>
        <w:rPr>
          <w:spacing w:val="-10"/>
        </w:rPr>
        <w:t> </w:t>
      </w:r>
      <w:r>
        <w:rPr/>
        <w:t>о</w:t>
      </w:r>
      <w:r>
        <w:rPr>
          <w:spacing w:val="-9"/>
        </w:rPr>
        <w:t> </w:t>
      </w:r>
      <w:r>
        <w:rPr/>
        <w:t>професионалној</w:t>
      </w:r>
      <w:r>
        <w:rPr>
          <w:spacing w:val="-9"/>
        </w:rPr>
        <w:t> </w:t>
      </w:r>
      <w:r>
        <w:rPr/>
        <w:t>рехабилитацији</w:t>
      </w:r>
      <w:r>
        <w:rPr>
          <w:spacing w:val="-10"/>
        </w:rPr>
        <w:t> </w:t>
      </w:r>
      <w:r>
        <w:rPr/>
        <w:t>и</w:t>
      </w:r>
      <w:r>
        <w:rPr>
          <w:spacing w:val="-8"/>
        </w:rPr>
        <w:t> </w:t>
      </w:r>
      <w:r>
        <w:rPr/>
        <w:t>запошљавању</w:t>
      </w:r>
      <w:r>
        <w:rPr>
          <w:spacing w:val="-14"/>
        </w:rPr>
        <w:t> </w:t>
      </w:r>
      <w:r>
        <w:rPr/>
        <w:t>ОСИ)</w:t>
      </w:r>
      <w:r>
        <w:rPr>
          <w:spacing w:val="-8"/>
        </w:rPr>
        <w:t> </w:t>
      </w:r>
      <w:r>
        <w:rPr/>
        <w:t>учињен</w:t>
      </w:r>
      <w:r>
        <w:rPr>
          <w:spacing w:val="-2"/>
        </w:rPr>
        <w:t> </w:t>
      </w:r>
      <w:r>
        <w:rPr/>
        <w:t>помак</w:t>
      </w:r>
      <w:r>
        <w:rPr>
          <w:spacing w:val="-6"/>
        </w:rPr>
        <w:t> </w:t>
      </w:r>
      <w:r>
        <w:rPr/>
        <w:t>у свеукупном сагледавању и унапређењу положаја ОСИ на тржишту рада, потребно је наставити</w:t>
      </w:r>
      <w:r>
        <w:rPr>
          <w:spacing w:val="40"/>
        </w:rPr>
        <w:t> </w:t>
      </w:r>
      <w:r>
        <w:rPr/>
        <w:t>са</w:t>
      </w:r>
      <w:r>
        <w:rPr>
          <w:spacing w:val="40"/>
        </w:rPr>
        <w:t> </w:t>
      </w:r>
      <w:r>
        <w:rPr/>
        <w:t>стварањем</w:t>
      </w:r>
      <w:r>
        <w:rPr>
          <w:spacing w:val="40"/>
        </w:rPr>
        <w:t> </w:t>
      </w:r>
      <w:r>
        <w:rPr/>
        <w:t>једнаких</w:t>
      </w:r>
      <w:r>
        <w:rPr>
          <w:spacing w:val="40"/>
        </w:rPr>
        <w:t> </w:t>
      </w:r>
      <w:r>
        <w:rPr/>
        <w:t>услова</w:t>
      </w:r>
      <w:r>
        <w:rPr>
          <w:spacing w:val="40"/>
        </w:rPr>
        <w:t> </w:t>
      </w:r>
      <w:r>
        <w:rPr/>
        <w:t>за</w:t>
      </w:r>
      <w:r>
        <w:rPr>
          <w:spacing w:val="40"/>
        </w:rPr>
        <w:t> </w:t>
      </w:r>
      <w:r>
        <w:rPr/>
        <w:t>приступ</w:t>
      </w:r>
      <w:r>
        <w:rPr>
          <w:spacing w:val="40"/>
        </w:rPr>
        <w:t> </w:t>
      </w:r>
      <w:r>
        <w:rPr/>
        <w:t>и</w:t>
      </w:r>
      <w:r>
        <w:rPr>
          <w:spacing w:val="40"/>
        </w:rPr>
        <w:t> </w:t>
      </w:r>
      <w:r>
        <w:rPr/>
        <w:t>останак</w:t>
      </w:r>
      <w:r>
        <w:rPr>
          <w:spacing w:val="40"/>
        </w:rPr>
        <w:t> </w:t>
      </w:r>
      <w:r>
        <w:rPr/>
        <w:t>ОСИ</w:t>
      </w:r>
      <w:r>
        <w:rPr>
          <w:spacing w:val="40"/>
        </w:rPr>
        <w:t> </w:t>
      </w:r>
      <w:r>
        <w:rPr/>
        <w:t>на</w:t>
      </w:r>
      <w:r>
        <w:rPr>
          <w:spacing w:val="40"/>
        </w:rPr>
        <w:t> </w:t>
      </w:r>
      <w:r>
        <w:rPr/>
        <w:t>тржишту</w:t>
      </w:r>
      <w:r>
        <w:rPr>
          <w:spacing w:val="40"/>
        </w:rPr>
        <w:t> </w:t>
      </w:r>
      <w:r>
        <w:rPr/>
        <w:t>рада</w:t>
      </w:r>
    </w:p>
    <w:p>
      <w:pPr>
        <w:pStyle w:val="BodyText"/>
        <w:spacing w:before="8"/>
        <w:ind w:left="0"/>
        <w:jc w:val="left"/>
        <w:rPr>
          <w:sz w:val="17"/>
        </w:rPr>
      </w:pPr>
      <w:r>
        <w:rPr>
          <w:sz w:val="17"/>
        </w:rPr>
        <mc:AlternateContent>
          <mc:Choice Requires="wps">
            <w:drawing>
              <wp:anchor distT="0" distB="0" distL="0" distR="0" allowOverlap="1" layoutInCell="1" locked="0" behindDoc="1" simplePos="0" relativeHeight="487603200">
                <wp:simplePos x="0" y="0"/>
                <wp:positionH relativeFrom="page">
                  <wp:posOffset>914704</wp:posOffset>
                </wp:positionH>
                <wp:positionV relativeFrom="paragraph">
                  <wp:posOffset>144448</wp:posOffset>
                </wp:positionV>
                <wp:extent cx="1829435" cy="952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1.373877pt;width:144.020pt;height:.72003pt;mso-position-horizontal-relative:page;mso-position-vertical-relative:paragraph;z-index:-15713280;mso-wrap-distance-left:0;mso-wrap-distance-right:0" id="docshape32" filled="true" fillcolor="#000000" stroked="false">
                <v:fill type="solid"/>
                <w10:wrap type="topAndBottom"/>
              </v:rect>
            </w:pict>
          </mc:Fallback>
        </mc:AlternateContent>
      </w:r>
    </w:p>
    <w:p>
      <w:pPr>
        <w:spacing w:before="94"/>
        <w:ind w:left="360" w:right="0" w:firstLine="0"/>
        <w:jc w:val="left"/>
        <w:rPr>
          <w:sz w:val="18"/>
        </w:rPr>
      </w:pPr>
      <w:r>
        <w:rPr>
          <w:position w:val="6"/>
          <w:sz w:val="12"/>
        </w:rPr>
        <w:t>41</w:t>
      </w:r>
      <w:r>
        <w:rPr>
          <w:spacing w:val="10"/>
          <w:position w:val="6"/>
          <w:sz w:val="12"/>
        </w:rPr>
        <w:t> </w:t>
      </w:r>
      <w:r>
        <w:rPr>
          <w:sz w:val="18"/>
        </w:rPr>
        <w:t>Увођење</w:t>
      </w:r>
      <w:r>
        <w:rPr>
          <w:spacing w:val="-4"/>
          <w:sz w:val="18"/>
        </w:rPr>
        <w:t> </w:t>
      </w:r>
      <w:r>
        <w:rPr>
          <w:sz w:val="18"/>
        </w:rPr>
        <w:t>Гаранције</w:t>
      </w:r>
      <w:r>
        <w:rPr>
          <w:spacing w:val="-3"/>
          <w:sz w:val="18"/>
        </w:rPr>
        <w:t> </w:t>
      </w:r>
      <w:r>
        <w:rPr>
          <w:sz w:val="18"/>
        </w:rPr>
        <w:t>за</w:t>
      </w:r>
      <w:r>
        <w:rPr>
          <w:spacing w:val="-4"/>
          <w:sz w:val="18"/>
        </w:rPr>
        <w:t> </w:t>
      </w:r>
      <w:r>
        <w:rPr>
          <w:sz w:val="18"/>
        </w:rPr>
        <w:t>младе</w:t>
      </w:r>
      <w:r>
        <w:rPr>
          <w:spacing w:val="-1"/>
          <w:sz w:val="18"/>
        </w:rPr>
        <w:t> </w:t>
      </w:r>
      <w:r>
        <w:rPr>
          <w:sz w:val="18"/>
        </w:rPr>
        <w:t>у</w:t>
      </w:r>
      <w:r>
        <w:rPr>
          <w:spacing w:val="-3"/>
          <w:sz w:val="18"/>
        </w:rPr>
        <w:t> </w:t>
      </w:r>
      <w:r>
        <w:rPr>
          <w:sz w:val="18"/>
        </w:rPr>
        <w:t>Републици</w:t>
      </w:r>
      <w:r>
        <w:rPr>
          <w:spacing w:val="-4"/>
          <w:sz w:val="18"/>
        </w:rPr>
        <w:t> </w:t>
      </w:r>
      <w:r>
        <w:rPr>
          <w:sz w:val="18"/>
        </w:rPr>
        <w:t>Србији,</w:t>
      </w:r>
      <w:r>
        <w:rPr>
          <w:spacing w:val="-3"/>
          <w:sz w:val="18"/>
        </w:rPr>
        <w:t> </w:t>
      </w:r>
      <w:r>
        <w:rPr>
          <w:sz w:val="18"/>
        </w:rPr>
        <w:t>процена</w:t>
      </w:r>
      <w:r>
        <w:rPr>
          <w:spacing w:val="-3"/>
          <w:sz w:val="18"/>
        </w:rPr>
        <w:t> </w:t>
      </w:r>
      <w:r>
        <w:rPr>
          <w:sz w:val="18"/>
        </w:rPr>
        <w:t>изводљивости,</w:t>
      </w:r>
      <w:r>
        <w:rPr>
          <w:spacing w:val="-2"/>
          <w:sz w:val="18"/>
        </w:rPr>
        <w:t> </w:t>
      </w:r>
      <w:r>
        <w:rPr>
          <w:sz w:val="18"/>
        </w:rPr>
        <w:t>МОР</w:t>
      </w:r>
      <w:r>
        <w:rPr>
          <w:spacing w:val="-3"/>
          <w:sz w:val="18"/>
        </w:rPr>
        <w:t> </w:t>
      </w:r>
      <w:r>
        <w:rPr>
          <w:sz w:val="18"/>
        </w:rPr>
        <w:t>(децембар</w:t>
      </w:r>
      <w:r>
        <w:rPr>
          <w:spacing w:val="-1"/>
          <w:sz w:val="18"/>
        </w:rPr>
        <w:t> </w:t>
      </w:r>
      <w:r>
        <w:rPr>
          <w:spacing w:val="-2"/>
          <w:sz w:val="18"/>
        </w:rPr>
        <w:t>2020.)</w:t>
      </w:r>
    </w:p>
    <w:p>
      <w:pPr>
        <w:spacing w:after="0"/>
        <w:jc w:val="left"/>
        <w:rPr>
          <w:sz w:val="18"/>
        </w:rPr>
        <w:sectPr>
          <w:pgSz w:w="12240" w:h="15840"/>
          <w:pgMar w:header="0" w:footer="702" w:top="1360" w:bottom="900" w:left="1080" w:right="720"/>
        </w:sectPr>
      </w:pPr>
    </w:p>
    <w:p>
      <w:pPr>
        <w:pStyle w:val="BodyText"/>
        <w:spacing w:before="72"/>
        <w:ind w:right="715"/>
      </w:pPr>
      <w:r>
        <w:rPr/>
        <w:t>(подстицање запошљавања на отвореном тржишту рада, подизање ефикасности у раду и учењу уз комбиновање различитих поступака кроз инклузивно учење и различите мере подршке и асистенције, успостављање механизама припреме и подршке на радном месту, посебно за ОСИ које се запошљавају под посебним условима рада и др.). Полазну основу за постизање пуне делотворност планираних активности представља примена индивидуалног приступа у процени потреба, базирањем на социјалним критеријумима, односно</w:t>
      </w:r>
      <w:r>
        <w:rPr>
          <w:spacing w:val="-15"/>
        </w:rPr>
        <w:t> </w:t>
      </w:r>
      <w:r>
        <w:rPr/>
        <w:t>нагласком</w:t>
      </w:r>
      <w:r>
        <w:rPr>
          <w:spacing w:val="-15"/>
        </w:rPr>
        <w:t> </w:t>
      </w:r>
      <w:r>
        <w:rPr/>
        <w:t>на</w:t>
      </w:r>
      <w:r>
        <w:rPr>
          <w:spacing w:val="-15"/>
        </w:rPr>
        <w:t> </w:t>
      </w:r>
      <w:r>
        <w:rPr/>
        <w:t>оно</w:t>
      </w:r>
      <w:r>
        <w:rPr>
          <w:spacing w:val="-15"/>
        </w:rPr>
        <w:t> </w:t>
      </w:r>
      <w:r>
        <w:rPr/>
        <w:t>што</w:t>
      </w:r>
      <w:r>
        <w:rPr>
          <w:spacing w:val="-15"/>
        </w:rPr>
        <w:t> </w:t>
      </w:r>
      <w:r>
        <w:rPr/>
        <w:t>ОСИ</w:t>
      </w:r>
      <w:r>
        <w:rPr>
          <w:spacing w:val="-15"/>
        </w:rPr>
        <w:t> </w:t>
      </w:r>
      <w:r>
        <w:rPr/>
        <w:t>може</w:t>
      </w:r>
      <w:r>
        <w:rPr>
          <w:spacing w:val="-15"/>
        </w:rPr>
        <w:t> </w:t>
      </w:r>
      <w:r>
        <w:rPr/>
        <w:t>да</w:t>
      </w:r>
      <w:r>
        <w:rPr>
          <w:spacing w:val="-15"/>
        </w:rPr>
        <w:t> </w:t>
      </w:r>
      <w:r>
        <w:rPr/>
        <w:t>пружи</w:t>
      </w:r>
      <w:r>
        <w:rPr>
          <w:spacing w:val="-15"/>
        </w:rPr>
        <w:t> </w:t>
      </w:r>
      <w:r>
        <w:rPr/>
        <w:t>на</w:t>
      </w:r>
      <w:r>
        <w:rPr>
          <w:spacing w:val="-15"/>
        </w:rPr>
        <w:t> </w:t>
      </w:r>
      <w:r>
        <w:rPr/>
        <w:t>тржишту</w:t>
      </w:r>
      <w:r>
        <w:rPr>
          <w:spacing w:val="-15"/>
        </w:rPr>
        <w:t> </w:t>
      </w:r>
      <w:r>
        <w:rPr/>
        <w:t>рада,</w:t>
      </w:r>
      <w:r>
        <w:rPr>
          <w:spacing w:val="-15"/>
        </w:rPr>
        <w:t> </w:t>
      </w:r>
      <w:r>
        <w:rPr/>
        <w:t>односно</w:t>
      </w:r>
      <w:r>
        <w:rPr>
          <w:spacing w:val="-15"/>
        </w:rPr>
        <w:t> </w:t>
      </w:r>
      <w:r>
        <w:rPr/>
        <w:t>интегрисаног пружања услуга (као резултата интензивиране и унапређене међусекторске сарадње).</w:t>
      </w:r>
    </w:p>
    <w:p>
      <w:pPr>
        <w:pStyle w:val="BodyText"/>
        <w:spacing w:before="120"/>
        <w:ind w:right="722" w:firstLine="719"/>
      </w:pPr>
      <w:r>
        <w:rPr/>
        <w:t>Паралелно са унапређењем техника стручног саветодавног рада са незапосленим ОСИ потребно је континуирано вршити оцену и процену усклађености расположивих услуга и мера професионалне рехабилитације ОСИ, као и подршке послодавцима (саветодавне и подстицајне мере ради стварања услова за запошљавање и одржање запослења</w:t>
      </w:r>
      <w:r>
        <w:rPr>
          <w:spacing w:val="-3"/>
        </w:rPr>
        <w:t> </w:t>
      </w:r>
      <w:r>
        <w:rPr/>
        <w:t>ОСИ)</w:t>
      </w:r>
      <w:r>
        <w:rPr>
          <w:spacing w:val="-1"/>
        </w:rPr>
        <w:t> </w:t>
      </w:r>
      <w:r>
        <w:rPr/>
        <w:t>са</w:t>
      </w:r>
      <w:r>
        <w:rPr>
          <w:spacing w:val="-3"/>
        </w:rPr>
        <w:t> </w:t>
      </w:r>
      <w:r>
        <w:rPr/>
        <w:t>исказаним</w:t>
      </w:r>
      <w:r>
        <w:rPr>
          <w:spacing w:val="-3"/>
        </w:rPr>
        <w:t> </w:t>
      </w:r>
      <w:r>
        <w:rPr/>
        <w:t>потребама</w:t>
      </w:r>
      <w:r>
        <w:rPr>
          <w:spacing w:val="-3"/>
        </w:rPr>
        <w:t> </w:t>
      </w:r>
      <w:r>
        <w:rPr/>
        <w:t>тржишта</w:t>
      </w:r>
      <w:r>
        <w:rPr>
          <w:spacing w:val="-3"/>
        </w:rPr>
        <w:t> </w:t>
      </w:r>
      <w:r>
        <w:rPr/>
        <w:t>рада,</w:t>
      </w:r>
      <w:r>
        <w:rPr>
          <w:spacing w:val="-2"/>
        </w:rPr>
        <w:t> </w:t>
      </w:r>
      <w:r>
        <w:rPr/>
        <w:t>ради</w:t>
      </w:r>
      <w:r>
        <w:rPr>
          <w:spacing w:val="-1"/>
        </w:rPr>
        <w:t> </w:t>
      </w:r>
      <w:r>
        <w:rPr/>
        <w:t>развоја</w:t>
      </w:r>
      <w:r>
        <w:rPr>
          <w:spacing w:val="-1"/>
        </w:rPr>
        <w:t> </w:t>
      </w:r>
      <w:r>
        <w:rPr/>
        <w:t>нових афирмативних мера подршке у дужем временском периоду, које прати одговарајући финансијски оквир.</w:t>
      </w:r>
    </w:p>
    <w:p>
      <w:pPr>
        <w:pStyle w:val="BodyText"/>
        <w:spacing w:before="177"/>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46"/>
      </w:tblGrid>
      <w:tr>
        <w:trPr>
          <w:trHeight w:val="265" w:hRule="atLeast"/>
        </w:trPr>
        <w:tc>
          <w:tcPr>
            <w:tcW w:w="1956" w:type="dxa"/>
          </w:tcPr>
          <w:p>
            <w:pPr>
              <w:pStyle w:val="TableParagraph"/>
              <w:spacing w:line="246" w:lineRule="exact"/>
              <w:ind w:left="50"/>
              <w:rPr>
                <w:i/>
                <w:sz w:val="24"/>
              </w:rPr>
            </w:pPr>
            <w:r>
              <w:rPr>
                <w:i/>
                <w:sz w:val="24"/>
              </w:rPr>
              <w:t>Врста/тип</w:t>
            </w:r>
            <w:r>
              <w:rPr>
                <w:i/>
                <w:spacing w:val="-2"/>
                <w:sz w:val="24"/>
              </w:rPr>
              <w:t> </w:t>
            </w:r>
            <w:r>
              <w:rPr>
                <w:i/>
                <w:spacing w:val="-4"/>
                <w:sz w:val="24"/>
              </w:rPr>
              <w:t>мере</w:t>
            </w:r>
          </w:p>
        </w:tc>
        <w:tc>
          <w:tcPr>
            <w:tcW w:w="7246" w:type="dxa"/>
          </w:tcPr>
          <w:p>
            <w:pPr>
              <w:pStyle w:val="TableParagraph"/>
              <w:spacing w:line="246" w:lineRule="exact"/>
              <w:ind w:left="215"/>
              <w:rPr>
                <w:sz w:val="24"/>
              </w:rPr>
            </w:pPr>
            <w:r>
              <w:rPr>
                <w:sz w:val="24"/>
              </w:rPr>
              <w:t>Комбинована:</w:t>
            </w:r>
            <w:r>
              <w:rPr>
                <w:spacing w:val="-8"/>
                <w:sz w:val="24"/>
              </w:rPr>
              <w:t> </w:t>
            </w:r>
            <w:r>
              <w:rPr>
                <w:sz w:val="24"/>
              </w:rPr>
              <w:t>регулаторна;</w:t>
            </w:r>
            <w:r>
              <w:rPr>
                <w:spacing w:val="-5"/>
                <w:sz w:val="24"/>
              </w:rPr>
              <w:t> </w:t>
            </w:r>
            <w:r>
              <w:rPr>
                <w:sz w:val="24"/>
              </w:rPr>
              <w:t>подстицајна;</w:t>
            </w:r>
            <w:r>
              <w:rPr>
                <w:spacing w:val="-5"/>
                <w:sz w:val="24"/>
              </w:rPr>
              <w:t> </w:t>
            </w:r>
            <w:r>
              <w:rPr>
                <w:sz w:val="24"/>
              </w:rPr>
              <w:t>информативно</w:t>
            </w:r>
            <w:r>
              <w:rPr>
                <w:spacing w:val="-5"/>
                <w:sz w:val="24"/>
              </w:rPr>
              <w:t> </w:t>
            </w:r>
            <w:r>
              <w:rPr>
                <w:spacing w:val="-2"/>
                <w:sz w:val="24"/>
              </w:rPr>
              <w:t>едукативна</w:t>
            </w:r>
          </w:p>
        </w:tc>
      </w:tr>
    </w:tbl>
    <w:p>
      <w:pPr>
        <w:pStyle w:val="Heading2"/>
        <w:tabs>
          <w:tab w:pos="9750" w:val="left" w:leader="none"/>
        </w:tabs>
        <w:spacing w:line="730" w:lineRule="atLeast" w:before="130"/>
        <w:ind w:right="687" w:hanging="29"/>
      </w:pPr>
      <w:r>
        <w:rPr>
          <w:b w:val="0"/>
          <w:color w:val="000000"/>
          <w:spacing w:val="-7"/>
          <w:shd w:fill="D9D9D9" w:color="auto" w:val="clear"/>
        </w:rPr>
        <w:t> </w:t>
      </w:r>
      <w:r>
        <w:rPr>
          <w:color w:val="000000"/>
          <w:shd w:fill="D9D9D9" w:color="auto" w:val="clear"/>
        </w:rPr>
        <w:t>Посебни циљ 3. Унапређен институционални оквир за политику запошљавања</w:t>
        <w:tab/>
      </w:r>
      <w:r>
        <w:rPr>
          <w:color w:val="000000"/>
        </w:rPr>
        <w:t> Мера 3.1. Унапређење законодавног оквира</w:t>
      </w:r>
    </w:p>
    <w:p>
      <w:pPr>
        <w:pStyle w:val="BodyText"/>
        <w:spacing w:before="43"/>
        <w:ind w:left="0"/>
        <w:jc w:val="left"/>
        <w:rPr>
          <w:b/>
        </w:rPr>
      </w:pPr>
    </w:p>
    <w:p>
      <w:pPr>
        <w:pStyle w:val="BodyText"/>
        <w:ind w:right="721" w:firstLine="719"/>
      </w:pPr>
      <w:r>
        <w:rPr/>
        <w:t>Систем политике запошљавања уређен је низом прописа из области запошљавања, професионалне рехабилитације и запошљавања особа са инвалидитетом, рада и радних односа, и уско повезан са прописима из области образовања и образовања одраслих, социјалне заштите, пореске и омладинске политике и др.</w:t>
      </w:r>
    </w:p>
    <w:p>
      <w:pPr>
        <w:pStyle w:val="BodyText"/>
        <w:spacing w:before="120"/>
        <w:ind w:right="716" w:firstLine="719"/>
      </w:pPr>
      <w:r>
        <w:rPr/>
        <w:t>Ради</w:t>
      </w:r>
      <w:r>
        <w:rPr>
          <w:spacing w:val="-4"/>
        </w:rPr>
        <w:t> </w:t>
      </w:r>
      <w:r>
        <w:rPr/>
        <w:t>унапређења</w:t>
      </w:r>
      <w:r>
        <w:rPr>
          <w:spacing w:val="-8"/>
        </w:rPr>
        <w:t> </w:t>
      </w:r>
      <w:r>
        <w:rPr/>
        <w:t>Закона</w:t>
      </w:r>
      <w:r>
        <w:rPr>
          <w:spacing w:val="-8"/>
        </w:rPr>
        <w:t> </w:t>
      </w:r>
      <w:r>
        <w:rPr/>
        <w:t>о</w:t>
      </w:r>
      <w:r>
        <w:rPr>
          <w:spacing w:val="-7"/>
        </w:rPr>
        <w:t> </w:t>
      </w:r>
      <w:r>
        <w:rPr/>
        <w:t>запошљавању</w:t>
      </w:r>
      <w:r>
        <w:rPr>
          <w:spacing w:val="-12"/>
        </w:rPr>
        <w:t> </w:t>
      </w:r>
      <w:r>
        <w:rPr/>
        <w:t>и</w:t>
      </w:r>
      <w:r>
        <w:rPr>
          <w:spacing w:val="-6"/>
        </w:rPr>
        <w:t> </w:t>
      </w:r>
      <w:r>
        <w:rPr/>
        <w:t>осигурању</w:t>
      </w:r>
      <w:r>
        <w:rPr>
          <w:spacing w:val="-12"/>
        </w:rPr>
        <w:t> </w:t>
      </w:r>
      <w:r>
        <w:rPr/>
        <w:t>за</w:t>
      </w:r>
      <w:r>
        <w:rPr>
          <w:spacing w:val="-6"/>
        </w:rPr>
        <w:t> </w:t>
      </w:r>
      <w:r>
        <w:rPr/>
        <w:t>случај</w:t>
      </w:r>
      <w:r>
        <w:rPr>
          <w:spacing w:val="-7"/>
        </w:rPr>
        <w:t> </w:t>
      </w:r>
      <w:r>
        <w:rPr/>
        <w:t>незапослености</w:t>
      </w:r>
      <w:r>
        <w:rPr>
          <w:spacing w:val="-6"/>
        </w:rPr>
        <w:t> </w:t>
      </w:r>
      <w:r>
        <w:rPr/>
        <w:t>како би на бољи начин одговорили на потребе тржишта рада, приступиће се, свеобухватној анализи ефеката овог прописа и сагледавања потребе за диференцијацију мера АПЗ на услуге и мере ради усклађивања са Евростат методологијом, уређењем националне стандардне класификације занимања, детаљнијим уређењем и ширењем мреже носилаца послова запошљавања, уређењем система интегрисаног пружања услуга, подстицањем развоја</w:t>
      </w:r>
      <w:r>
        <w:rPr>
          <w:spacing w:val="-15"/>
        </w:rPr>
        <w:t> </w:t>
      </w:r>
      <w:r>
        <w:rPr/>
        <w:t>локалне</w:t>
      </w:r>
      <w:r>
        <w:rPr>
          <w:spacing w:val="-15"/>
        </w:rPr>
        <w:t> </w:t>
      </w:r>
      <w:r>
        <w:rPr/>
        <w:t>политике</w:t>
      </w:r>
      <w:r>
        <w:rPr>
          <w:spacing w:val="-15"/>
        </w:rPr>
        <w:t> </w:t>
      </w:r>
      <w:r>
        <w:rPr/>
        <w:t>запошљавања,</w:t>
      </w:r>
      <w:r>
        <w:rPr>
          <w:spacing w:val="-15"/>
        </w:rPr>
        <w:t> </w:t>
      </w:r>
      <w:r>
        <w:rPr/>
        <w:t>остваривањем</w:t>
      </w:r>
      <w:r>
        <w:rPr>
          <w:spacing w:val="-15"/>
        </w:rPr>
        <w:t> </w:t>
      </w:r>
      <w:r>
        <w:rPr/>
        <w:t>права</w:t>
      </w:r>
      <w:r>
        <w:rPr>
          <w:spacing w:val="-15"/>
        </w:rPr>
        <w:t> </w:t>
      </w:r>
      <w:r>
        <w:rPr/>
        <w:t>за</w:t>
      </w:r>
      <w:r>
        <w:rPr>
          <w:spacing w:val="-15"/>
        </w:rPr>
        <w:t> </w:t>
      </w:r>
      <w:r>
        <w:rPr/>
        <w:t>случај</w:t>
      </w:r>
      <w:r>
        <w:rPr>
          <w:spacing w:val="-15"/>
        </w:rPr>
        <w:t> </w:t>
      </w:r>
      <w:r>
        <w:rPr/>
        <w:t>незапослености</w:t>
      </w:r>
      <w:r>
        <w:rPr>
          <w:spacing w:val="-15"/>
        </w:rPr>
        <w:t> </w:t>
      </w:r>
      <w:r>
        <w:rPr/>
        <w:t>и</w:t>
      </w:r>
      <w:r>
        <w:rPr>
          <w:spacing w:val="-15"/>
        </w:rPr>
        <w:t> </w:t>
      </w:r>
      <w:r>
        <w:rPr/>
        <w:t>др. Паралелно, а</w:t>
      </w:r>
      <w:r>
        <w:rPr>
          <w:spacing w:val="-3"/>
        </w:rPr>
        <w:t> </w:t>
      </w:r>
      <w:r>
        <w:rPr/>
        <w:t>на</w:t>
      </w:r>
      <w:r>
        <w:rPr>
          <w:spacing w:val="-3"/>
        </w:rPr>
        <w:t> </w:t>
      </w:r>
      <w:r>
        <w:rPr/>
        <w:t>основу</w:t>
      </w:r>
      <w:r>
        <w:rPr>
          <w:spacing w:val="-5"/>
        </w:rPr>
        <w:t> </w:t>
      </w:r>
      <w:r>
        <w:rPr/>
        <w:t>налаза</w:t>
      </w:r>
      <w:r>
        <w:rPr>
          <w:spacing w:val="-3"/>
        </w:rPr>
        <w:t> </w:t>
      </w:r>
      <w:r>
        <w:rPr/>
        <w:t>Еx-пост</w:t>
      </w:r>
      <w:r>
        <w:rPr>
          <w:spacing w:val="-2"/>
        </w:rPr>
        <w:t> </w:t>
      </w:r>
      <w:r>
        <w:rPr/>
        <w:t>анализе</w:t>
      </w:r>
      <w:r>
        <w:rPr>
          <w:spacing w:val="-3"/>
        </w:rPr>
        <w:t> </w:t>
      </w:r>
      <w:r>
        <w:rPr/>
        <w:t>Закона</w:t>
      </w:r>
      <w:r>
        <w:rPr>
          <w:spacing w:val="-3"/>
        </w:rPr>
        <w:t> </w:t>
      </w:r>
      <w:r>
        <w:rPr/>
        <w:t>о</w:t>
      </w:r>
      <w:r>
        <w:rPr>
          <w:spacing w:val="-2"/>
        </w:rPr>
        <w:t> </w:t>
      </w:r>
      <w:r>
        <w:rPr/>
        <w:t>професионалној</w:t>
      </w:r>
      <w:r>
        <w:rPr>
          <w:spacing w:val="-2"/>
        </w:rPr>
        <w:t> </w:t>
      </w:r>
      <w:r>
        <w:rPr/>
        <w:t>рехабилитацији</w:t>
      </w:r>
      <w:r>
        <w:rPr>
          <w:spacing w:val="-2"/>
        </w:rPr>
        <w:t> </w:t>
      </w:r>
      <w:r>
        <w:rPr/>
        <w:t>и запошљавању особа са инвалидитетом која је у току сагледаће се ефекти примене овог прописа са акцентом на извршење обавезе запошљавања ОСИ и праћење извршења те обавезе, анализом доступности средстава уплаћених у Буџетски фонд у пуном обиму у складу са наменама утврђеним у прописима из области запошљавања и професионалне рехабилитације и сл.), проценом радне способности ради запошљавања или одржавања запошљавања и др. ради утврђивања правца измене и допуне појединих одредаба овог </w:t>
      </w:r>
      <w:r>
        <w:rPr>
          <w:spacing w:val="-2"/>
        </w:rPr>
        <w:t>закона.</w:t>
      </w:r>
    </w:p>
    <w:p>
      <w:pPr>
        <w:pStyle w:val="BodyText"/>
        <w:spacing w:before="119"/>
        <w:ind w:right="719" w:firstLine="719"/>
      </w:pPr>
      <w:r>
        <w:rPr/>
        <w:t>Важан предуслов за праћење и анализу запошљавања ОСИ јесте увођење, као обавезног,</w:t>
      </w:r>
      <w:r>
        <w:rPr>
          <w:spacing w:val="-11"/>
        </w:rPr>
        <w:t> </w:t>
      </w:r>
      <w:r>
        <w:rPr/>
        <w:t>податка</w:t>
      </w:r>
      <w:r>
        <w:rPr>
          <w:spacing w:val="-11"/>
        </w:rPr>
        <w:t> </w:t>
      </w:r>
      <w:r>
        <w:rPr/>
        <w:t>о</w:t>
      </w:r>
      <w:r>
        <w:rPr>
          <w:spacing w:val="-11"/>
        </w:rPr>
        <w:t> </w:t>
      </w:r>
      <w:r>
        <w:rPr/>
        <w:t>статусу</w:t>
      </w:r>
      <w:r>
        <w:rPr>
          <w:spacing w:val="-14"/>
        </w:rPr>
        <w:t> </w:t>
      </w:r>
      <w:r>
        <w:rPr/>
        <w:t>лица</w:t>
      </w:r>
      <w:r>
        <w:rPr>
          <w:spacing w:val="-9"/>
        </w:rPr>
        <w:t> </w:t>
      </w:r>
      <w:r>
        <w:rPr/>
        <w:t>у</w:t>
      </w:r>
      <w:r>
        <w:rPr>
          <w:spacing w:val="-14"/>
        </w:rPr>
        <w:t> </w:t>
      </w:r>
      <w:r>
        <w:rPr/>
        <w:t>пријаву</w:t>
      </w:r>
      <w:r>
        <w:rPr>
          <w:spacing w:val="-14"/>
        </w:rPr>
        <w:t> </w:t>
      </w:r>
      <w:r>
        <w:rPr/>
        <w:t>на</w:t>
      </w:r>
      <w:r>
        <w:rPr>
          <w:spacing w:val="-9"/>
        </w:rPr>
        <w:t> </w:t>
      </w:r>
      <w:r>
        <w:rPr/>
        <w:t>обавезно</w:t>
      </w:r>
      <w:r>
        <w:rPr>
          <w:spacing w:val="-11"/>
        </w:rPr>
        <w:t> </w:t>
      </w:r>
      <w:r>
        <w:rPr/>
        <w:t>социјално</w:t>
      </w:r>
      <w:r>
        <w:rPr>
          <w:spacing w:val="-12"/>
        </w:rPr>
        <w:t> </w:t>
      </w:r>
      <w:r>
        <w:rPr/>
        <w:t>осигурање</w:t>
      </w:r>
      <w:r>
        <w:rPr>
          <w:spacing w:val="-11"/>
        </w:rPr>
        <w:t> </w:t>
      </w:r>
      <w:r>
        <w:rPr/>
        <w:t>на</w:t>
      </w:r>
      <w:r>
        <w:rPr>
          <w:spacing w:val="-11"/>
        </w:rPr>
        <w:t> </w:t>
      </w:r>
      <w:r>
        <w:rPr/>
        <w:t>који</w:t>
      </w:r>
      <w:r>
        <w:rPr>
          <w:spacing w:val="-9"/>
        </w:rPr>
        <w:t> </w:t>
      </w:r>
      <w:r>
        <w:rPr/>
        <w:t>начин ће</w:t>
      </w:r>
      <w:r>
        <w:rPr>
          <w:spacing w:val="51"/>
        </w:rPr>
        <w:t> </w:t>
      </w:r>
      <w:r>
        <w:rPr/>
        <w:t>се</w:t>
      </w:r>
      <w:r>
        <w:rPr>
          <w:spacing w:val="54"/>
        </w:rPr>
        <w:t> </w:t>
      </w:r>
      <w:r>
        <w:rPr/>
        <w:t>по</w:t>
      </w:r>
      <w:r>
        <w:rPr>
          <w:spacing w:val="55"/>
        </w:rPr>
        <w:t> </w:t>
      </w:r>
      <w:r>
        <w:rPr/>
        <w:t>први</w:t>
      </w:r>
      <w:r>
        <w:rPr>
          <w:spacing w:val="55"/>
        </w:rPr>
        <w:t> </w:t>
      </w:r>
      <w:r>
        <w:rPr/>
        <w:t>пут</w:t>
      </w:r>
      <w:r>
        <w:rPr>
          <w:spacing w:val="60"/>
        </w:rPr>
        <w:t> </w:t>
      </w:r>
      <w:r>
        <w:rPr/>
        <w:t>успоставити</w:t>
      </w:r>
      <w:r>
        <w:rPr>
          <w:spacing w:val="57"/>
        </w:rPr>
        <w:t> </w:t>
      </w:r>
      <w:r>
        <w:rPr/>
        <w:t>база</w:t>
      </w:r>
      <w:r>
        <w:rPr>
          <w:spacing w:val="53"/>
        </w:rPr>
        <w:t> </w:t>
      </w:r>
      <w:r>
        <w:rPr/>
        <w:t>података</w:t>
      </w:r>
      <w:r>
        <w:rPr>
          <w:spacing w:val="54"/>
        </w:rPr>
        <w:t> </w:t>
      </w:r>
      <w:r>
        <w:rPr/>
        <w:t>о</w:t>
      </w:r>
      <w:r>
        <w:rPr>
          <w:spacing w:val="57"/>
        </w:rPr>
        <w:t> </w:t>
      </w:r>
      <w:r>
        <w:rPr/>
        <w:t>укупном</w:t>
      </w:r>
      <w:r>
        <w:rPr>
          <w:spacing w:val="54"/>
        </w:rPr>
        <w:t> </w:t>
      </w:r>
      <w:r>
        <w:rPr/>
        <w:t>броју</w:t>
      </w:r>
      <w:r>
        <w:rPr>
          <w:spacing w:val="50"/>
        </w:rPr>
        <w:t> </w:t>
      </w:r>
      <w:r>
        <w:rPr/>
        <w:t>запослених</w:t>
      </w:r>
      <w:r>
        <w:rPr>
          <w:spacing w:val="57"/>
        </w:rPr>
        <w:t> </w:t>
      </w:r>
      <w:r>
        <w:rPr/>
        <w:t>или</w:t>
      </w:r>
      <w:r>
        <w:rPr>
          <w:spacing w:val="56"/>
        </w:rPr>
        <w:t> </w:t>
      </w:r>
      <w:r>
        <w:rPr>
          <w:spacing w:val="-2"/>
        </w:rPr>
        <w:t>радно</w:t>
      </w:r>
    </w:p>
    <w:p>
      <w:pPr>
        <w:pStyle w:val="BodyText"/>
        <w:spacing w:after="0"/>
        <w:sectPr>
          <w:pgSz w:w="12240" w:h="15840"/>
          <w:pgMar w:header="0" w:footer="702" w:top="1360" w:bottom="900" w:left="1080" w:right="720"/>
        </w:sectPr>
      </w:pPr>
    </w:p>
    <w:p>
      <w:pPr>
        <w:pStyle w:val="BodyText"/>
        <w:spacing w:before="72"/>
        <w:ind w:right="716"/>
      </w:pPr>
      <w:r>
        <w:rPr/>
        <w:t>ангажованих ОСИ у</w:t>
      </w:r>
      <w:r>
        <w:rPr>
          <w:spacing w:val="-9"/>
        </w:rPr>
        <w:t> </w:t>
      </w:r>
      <w:r>
        <w:rPr/>
        <w:t>Србији.</w:t>
      </w:r>
      <w:r>
        <w:rPr>
          <w:spacing w:val="-1"/>
        </w:rPr>
        <w:t> </w:t>
      </w:r>
      <w:r>
        <w:rPr/>
        <w:t>Тиме</w:t>
      </w:r>
      <w:r>
        <w:rPr>
          <w:spacing w:val="-2"/>
        </w:rPr>
        <w:t> </w:t>
      </w:r>
      <w:r>
        <w:rPr/>
        <w:t>се</w:t>
      </w:r>
      <w:r>
        <w:rPr>
          <w:spacing w:val="-2"/>
        </w:rPr>
        <w:t> </w:t>
      </w:r>
      <w:r>
        <w:rPr/>
        <w:t>ствара</w:t>
      </w:r>
      <w:r>
        <w:rPr>
          <w:spacing w:val="-2"/>
        </w:rPr>
        <w:t> </w:t>
      </w:r>
      <w:r>
        <w:rPr/>
        <w:t>могућност</w:t>
      </w:r>
      <w:r>
        <w:rPr>
          <w:spacing w:val="-1"/>
        </w:rPr>
        <w:t> </w:t>
      </w:r>
      <w:r>
        <w:rPr/>
        <w:t>једноставнијег</w:t>
      </w:r>
      <w:r>
        <w:rPr>
          <w:spacing w:val="-2"/>
        </w:rPr>
        <w:t> </w:t>
      </w:r>
      <w:r>
        <w:rPr/>
        <w:t>али и целисходнијег начина праћења обавезе запошљавања ОСИ у складу са Законом о професионалној рехабилитацији и запошљавању особа са инвалидитетом, као и добијање додатних информација ради планирања мера за унапређење њиховог положаја на тржишту рада. Наведено ће се омогућити изменама Уредбе о садржини, обрасцу и начину подношења јединствене пријаве на обавезно социјално осигурање, јединственим методолошким принципима и јединственом кодексу шифара за унос података у јединствену базу централног регистра обавезног социјалног осигурања </w:t>
      </w:r>
      <w:r>
        <w:rPr>
          <w:i/>
        </w:rPr>
        <w:t>(„Службени гласник РСˮ, бр. 54/10, 124/12 и 119/13)</w:t>
      </w:r>
      <w:r>
        <w:rPr/>
        <w:t>, због чега је неопходно остварити пуну сарадњу министарства надлежног за послове запошљавања, министарства надлежног за послове финансија и ЦРОСО.</w:t>
      </w:r>
    </w:p>
    <w:p>
      <w:pPr>
        <w:pStyle w:val="BodyText"/>
        <w:spacing w:before="121"/>
        <w:ind w:right="715" w:firstLine="719"/>
      </w:pPr>
      <w:r>
        <w:rPr/>
        <w:t>Такође, услед</w:t>
      </w:r>
      <w:r>
        <w:rPr>
          <w:spacing w:val="-5"/>
        </w:rPr>
        <w:t> </w:t>
      </w:r>
      <w:r>
        <w:rPr/>
        <w:t>неопходности</w:t>
      </w:r>
      <w:r>
        <w:rPr>
          <w:spacing w:val="-4"/>
        </w:rPr>
        <w:t> </w:t>
      </w:r>
      <w:r>
        <w:rPr/>
        <w:t>нормативног</w:t>
      </w:r>
      <w:r>
        <w:rPr>
          <w:spacing w:val="-3"/>
        </w:rPr>
        <w:t> </w:t>
      </w:r>
      <w:r>
        <w:rPr/>
        <w:t>уређења</w:t>
      </w:r>
      <w:r>
        <w:rPr>
          <w:spacing w:val="-4"/>
        </w:rPr>
        <w:t> </w:t>
      </w:r>
      <w:r>
        <w:rPr/>
        <w:t>облика</w:t>
      </w:r>
      <w:r>
        <w:rPr>
          <w:spacing w:val="-5"/>
        </w:rPr>
        <w:t> </w:t>
      </w:r>
      <w:r>
        <w:rPr/>
        <w:t>социјалне</w:t>
      </w:r>
      <w:r>
        <w:rPr>
          <w:spacing w:val="-5"/>
        </w:rPr>
        <w:t> </w:t>
      </w:r>
      <w:r>
        <w:rPr/>
        <w:t>економије</w:t>
      </w:r>
      <w:r>
        <w:rPr>
          <w:spacing w:val="-5"/>
        </w:rPr>
        <w:t> </w:t>
      </w:r>
      <w:r>
        <w:rPr/>
        <w:t>који постоје, донеће се пропис којим ће бити регулисана област социјалног предузетништва, у складу</w:t>
      </w:r>
      <w:r>
        <w:rPr>
          <w:spacing w:val="-15"/>
        </w:rPr>
        <w:t> </w:t>
      </w:r>
      <w:r>
        <w:rPr/>
        <w:t>са</w:t>
      </w:r>
      <w:r>
        <w:rPr>
          <w:spacing w:val="-15"/>
        </w:rPr>
        <w:t> </w:t>
      </w:r>
      <w:r>
        <w:rPr/>
        <w:t>најбољим</w:t>
      </w:r>
      <w:r>
        <w:rPr>
          <w:spacing w:val="-15"/>
        </w:rPr>
        <w:t> </w:t>
      </w:r>
      <w:r>
        <w:rPr/>
        <w:t>праксама</w:t>
      </w:r>
      <w:r>
        <w:rPr>
          <w:spacing w:val="-15"/>
        </w:rPr>
        <w:t> </w:t>
      </w:r>
      <w:r>
        <w:rPr/>
        <w:t>Европске</w:t>
      </w:r>
      <w:r>
        <w:rPr>
          <w:spacing w:val="-15"/>
        </w:rPr>
        <w:t> </w:t>
      </w:r>
      <w:r>
        <w:rPr/>
        <w:t>уније</w:t>
      </w:r>
      <w:r>
        <w:rPr>
          <w:spacing w:val="-15"/>
        </w:rPr>
        <w:t> </w:t>
      </w:r>
      <w:r>
        <w:rPr/>
        <w:t>и</w:t>
      </w:r>
      <w:r>
        <w:rPr>
          <w:spacing w:val="-15"/>
        </w:rPr>
        <w:t> </w:t>
      </w:r>
      <w:r>
        <w:rPr/>
        <w:t>бити</w:t>
      </w:r>
      <w:r>
        <w:rPr>
          <w:spacing w:val="-15"/>
        </w:rPr>
        <w:t> </w:t>
      </w:r>
      <w:r>
        <w:rPr/>
        <w:t>подржана</w:t>
      </w:r>
      <w:r>
        <w:rPr>
          <w:spacing w:val="-15"/>
        </w:rPr>
        <w:t> </w:t>
      </w:r>
      <w:r>
        <w:rPr/>
        <w:t>радно-социјална</w:t>
      </w:r>
      <w:r>
        <w:rPr>
          <w:spacing w:val="-15"/>
        </w:rPr>
        <w:t> </w:t>
      </w:r>
      <w:r>
        <w:rPr/>
        <w:t>интеграција категорија теже запошљивих лица.</w:t>
      </w:r>
    </w:p>
    <w:p>
      <w:pPr>
        <w:pStyle w:val="BodyText"/>
        <w:spacing w:before="120"/>
        <w:ind w:right="716" w:firstLine="719"/>
      </w:pPr>
      <w:r>
        <w:rPr/>
        <w:t>Израда и доношење новог Закона о раду у циљу усклађивања са директивама и другим прописима ЕУ али и обезбеђивања боље примене појединих одредаба прописа у пракси,</w:t>
      </w:r>
      <w:r>
        <w:rPr>
          <w:spacing w:val="-15"/>
        </w:rPr>
        <w:t> </w:t>
      </w:r>
      <w:r>
        <w:rPr/>
        <w:t>један</w:t>
      </w:r>
      <w:r>
        <w:rPr>
          <w:spacing w:val="-11"/>
        </w:rPr>
        <w:t> </w:t>
      </w:r>
      <w:r>
        <w:rPr/>
        <w:t>је</w:t>
      </w:r>
      <w:r>
        <w:rPr>
          <w:spacing w:val="-13"/>
        </w:rPr>
        <w:t> </w:t>
      </w:r>
      <w:r>
        <w:rPr/>
        <w:t>од</w:t>
      </w:r>
      <w:r>
        <w:rPr>
          <w:spacing w:val="-12"/>
        </w:rPr>
        <w:t> </w:t>
      </w:r>
      <w:r>
        <w:rPr/>
        <w:t>приоритета</w:t>
      </w:r>
      <w:r>
        <w:rPr>
          <w:spacing w:val="-10"/>
        </w:rPr>
        <w:t> </w:t>
      </w:r>
      <w:r>
        <w:rPr/>
        <w:t>у</w:t>
      </w:r>
      <w:r>
        <w:rPr>
          <w:spacing w:val="-15"/>
        </w:rPr>
        <w:t> </w:t>
      </w:r>
      <w:r>
        <w:rPr/>
        <w:t>склопу</w:t>
      </w:r>
      <w:r>
        <w:rPr>
          <w:spacing w:val="-15"/>
        </w:rPr>
        <w:t> </w:t>
      </w:r>
      <w:r>
        <w:rPr/>
        <w:t>ове</w:t>
      </w:r>
      <w:r>
        <w:rPr>
          <w:spacing w:val="-11"/>
        </w:rPr>
        <w:t> </w:t>
      </w:r>
      <w:r>
        <w:rPr/>
        <w:t>мере.</w:t>
      </w:r>
      <w:r>
        <w:rPr>
          <w:spacing w:val="-12"/>
        </w:rPr>
        <w:t> </w:t>
      </w:r>
      <w:r>
        <w:rPr/>
        <w:t>Посебна</w:t>
      </w:r>
      <w:r>
        <w:rPr>
          <w:spacing w:val="-13"/>
        </w:rPr>
        <w:t> </w:t>
      </w:r>
      <w:r>
        <w:rPr/>
        <w:t>пажња</w:t>
      </w:r>
      <w:r>
        <w:rPr>
          <w:spacing w:val="-13"/>
        </w:rPr>
        <w:t> </w:t>
      </w:r>
      <w:r>
        <w:rPr/>
        <w:t>биће</w:t>
      </w:r>
      <w:r>
        <w:rPr>
          <w:spacing w:val="-11"/>
        </w:rPr>
        <w:t> </w:t>
      </w:r>
      <w:r>
        <w:rPr/>
        <w:t>усмерена</w:t>
      </w:r>
      <w:r>
        <w:rPr>
          <w:spacing w:val="-11"/>
        </w:rPr>
        <w:t> </w:t>
      </w:r>
      <w:r>
        <w:rPr/>
        <w:t>на</w:t>
      </w:r>
      <w:r>
        <w:rPr>
          <w:spacing w:val="-8"/>
        </w:rPr>
        <w:t> </w:t>
      </w:r>
      <w:r>
        <w:rPr/>
        <w:t>уређење института радних пракси.</w:t>
      </w:r>
      <w:r>
        <w:rPr>
          <w:spacing w:val="-1"/>
        </w:rPr>
        <w:t> </w:t>
      </w:r>
      <w:r>
        <w:rPr/>
        <w:t>Због</w:t>
      </w:r>
      <w:r>
        <w:rPr>
          <w:spacing w:val="-1"/>
        </w:rPr>
        <w:t> </w:t>
      </w:r>
      <w:r>
        <w:rPr/>
        <w:t>ефеката</w:t>
      </w:r>
      <w:r>
        <w:rPr>
          <w:spacing w:val="-2"/>
        </w:rPr>
        <w:t> </w:t>
      </w:r>
      <w:r>
        <w:rPr/>
        <w:t>које квалитетне радне</w:t>
      </w:r>
      <w:r>
        <w:rPr>
          <w:spacing w:val="-2"/>
        </w:rPr>
        <w:t> </w:t>
      </w:r>
      <w:r>
        <w:rPr/>
        <w:t>праксе имају</w:t>
      </w:r>
      <w:r>
        <w:rPr>
          <w:spacing w:val="-6"/>
        </w:rPr>
        <w:t> </w:t>
      </w:r>
      <w:r>
        <w:rPr/>
        <w:t>на олакшавање транзиције младих на тржиште рада, Савет министара Европске уније је 2014. године усвојио Препоруку о квалитетном оквиру за спровођење пракси, са основним елементима који обезбеђују квалитет радних пракси. Законско решење мора узети у обзир временско ограничење</w:t>
      </w:r>
      <w:r>
        <w:rPr>
          <w:spacing w:val="-15"/>
        </w:rPr>
        <w:t> </w:t>
      </w:r>
      <w:r>
        <w:rPr/>
        <w:t>радне</w:t>
      </w:r>
      <w:r>
        <w:rPr>
          <w:spacing w:val="-15"/>
        </w:rPr>
        <w:t> </w:t>
      </w:r>
      <w:r>
        <w:rPr/>
        <w:t>праксе,</w:t>
      </w:r>
      <w:r>
        <w:rPr>
          <w:spacing w:val="-15"/>
        </w:rPr>
        <w:t> </w:t>
      </w:r>
      <w:r>
        <w:rPr/>
        <w:t>обезбеђивање</w:t>
      </w:r>
      <w:r>
        <w:rPr>
          <w:spacing w:val="-15"/>
        </w:rPr>
        <w:t> </w:t>
      </w:r>
      <w:r>
        <w:rPr/>
        <w:t>квалитета</w:t>
      </w:r>
      <w:r>
        <w:rPr>
          <w:spacing w:val="-15"/>
        </w:rPr>
        <w:t> </w:t>
      </w:r>
      <w:r>
        <w:rPr/>
        <w:t>учења,</w:t>
      </w:r>
      <w:r>
        <w:rPr>
          <w:spacing w:val="-15"/>
        </w:rPr>
        <w:t> </w:t>
      </w:r>
      <w:r>
        <w:rPr/>
        <w:t>новчану</w:t>
      </w:r>
      <w:r>
        <w:rPr>
          <w:spacing w:val="-15"/>
        </w:rPr>
        <w:t> </w:t>
      </w:r>
      <w:r>
        <w:rPr/>
        <w:t>надокнаду.</w:t>
      </w:r>
      <w:r>
        <w:rPr>
          <w:spacing w:val="-15"/>
        </w:rPr>
        <w:t> </w:t>
      </w:r>
      <w:r>
        <w:rPr/>
        <w:t>Опорезивање овакве врсте уговора требало би да буде стимулативније у</w:t>
      </w:r>
      <w:r>
        <w:rPr>
          <w:spacing w:val="-5"/>
        </w:rPr>
        <w:t> </w:t>
      </w:r>
      <w:r>
        <w:rPr/>
        <w:t>односу</w:t>
      </w:r>
      <w:r>
        <w:rPr>
          <w:spacing w:val="-3"/>
        </w:rPr>
        <w:t> </w:t>
      </w:r>
      <w:r>
        <w:rPr/>
        <w:t>на опорезивање уговора о раду, што значи да радне праксе морају бити препознате и у пореским законима.</w:t>
      </w:r>
    </w:p>
    <w:p>
      <w:pPr>
        <w:pStyle w:val="BodyText"/>
        <w:spacing w:before="177"/>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1528"/>
      </w:tblGrid>
      <w:tr>
        <w:trPr>
          <w:trHeight w:val="265" w:hRule="atLeast"/>
        </w:trPr>
        <w:tc>
          <w:tcPr>
            <w:tcW w:w="1956" w:type="dxa"/>
          </w:tcPr>
          <w:p>
            <w:pPr>
              <w:pStyle w:val="TableParagraph"/>
              <w:spacing w:line="246" w:lineRule="exact"/>
              <w:ind w:left="50"/>
              <w:rPr>
                <w:i/>
                <w:sz w:val="24"/>
              </w:rPr>
            </w:pPr>
            <w:r>
              <w:rPr>
                <w:i/>
                <w:sz w:val="24"/>
              </w:rPr>
              <w:t>Врста/тип</w:t>
            </w:r>
            <w:r>
              <w:rPr>
                <w:i/>
                <w:spacing w:val="-2"/>
                <w:sz w:val="24"/>
              </w:rPr>
              <w:t> </w:t>
            </w:r>
            <w:r>
              <w:rPr>
                <w:i/>
                <w:spacing w:val="-4"/>
                <w:sz w:val="24"/>
              </w:rPr>
              <w:t>мере</w:t>
            </w:r>
          </w:p>
        </w:tc>
        <w:tc>
          <w:tcPr>
            <w:tcW w:w="1528" w:type="dxa"/>
          </w:tcPr>
          <w:p>
            <w:pPr>
              <w:pStyle w:val="TableParagraph"/>
              <w:spacing w:line="246" w:lineRule="exact"/>
              <w:ind w:left="215"/>
              <w:rPr>
                <w:sz w:val="24"/>
              </w:rPr>
            </w:pPr>
            <w:r>
              <w:rPr>
                <w:spacing w:val="-2"/>
                <w:sz w:val="24"/>
              </w:rPr>
              <w:t>Регулаторна</w:t>
            </w:r>
          </w:p>
        </w:tc>
      </w:tr>
    </w:tbl>
    <w:p>
      <w:pPr>
        <w:pStyle w:val="BodyText"/>
        <w:spacing w:before="128"/>
        <w:ind w:left="0"/>
        <w:jc w:val="left"/>
      </w:pPr>
    </w:p>
    <w:p>
      <w:pPr>
        <w:pStyle w:val="Heading2"/>
      </w:pPr>
      <w:r>
        <w:rPr/>
        <w:t>Мера</w:t>
      </w:r>
      <w:r>
        <w:rPr>
          <w:spacing w:val="-5"/>
        </w:rPr>
        <w:t> </w:t>
      </w:r>
      <w:r>
        <w:rPr/>
        <w:t>3.2.</w:t>
      </w:r>
      <w:r>
        <w:rPr>
          <w:spacing w:val="-2"/>
        </w:rPr>
        <w:t> </w:t>
      </w:r>
      <w:r>
        <w:rPr/>
        <w:t>Јачање</w:t>
      </w:r>
      <w:r>
        <w:rPr>
          <w:spacing w:val="-3"/>
        </w:rPr>
        <w:t> </w:t>
      </w:r>
      <w:r>
        <w:rPr/>
        <w:t>капацитета</w:t>
      </w:r>
      <w:r>
        <w:rPr>
          <w:spacing w:val="-3"/>
        </w:rPr>
        <w:t> </w:t>
      </w:r>
      <w:r>
        <w:rPr/>
        <w:t>носилаца</w:t>
      </w:r>
      <w:r>
        <w:rPr>
          <w:spacing w:val="-2"/>
        </w:rPr>
        <w:t> </w:t>
      </w:r>
      <w:r>
        <w:rPr/>
        <w:t>послова</w:t>
      </w:r>
      <w:r>
        <w:rPr>
          <w:spacing w:val="-2"/>
        </w:rPr>
        <w:t> запошљавања</w:t>
      </w:r>
    </w:p>
    <w:p>
      <w:pPr>
        <w:pStyle w:val="BodyText"/>
        <w:spacing w:before="36"/>
        <w:ind w:left="0"/>
        <w:jc w:val="left"/>
        <w:rPr>
          <w:b/>
        </w:rPr>
      </w:pPr>
    </w:p>
    <w:p>
      <w:pPr>
        <w:pStyle w:val="BodyText"/>
        <w:ind w:right="718" w:firstLine="719"/>
      </w:pPr>
      <w:r>
        <w:rPr/>
        <w:t>У складу са позитивним законодавством Србије, Министарство за рад, запошљавање,</w:t>
      </w:r>
      <w:r>
        <w:rPr>
          <w:spacing w:val="-7"/>
        </w:rPr>
        <w:t> </w:t>
      </w:r>
      <w:r>
        <w:rPr/>
        <w:t>борачка</w:t>
      </w:r>
      <w:r>
        <w:rPr>
          <w:spacing w:val="-5"/>
        </w:rPr>
        <w:t> </w:t>
      </w:r>
      <w:r>
        <w:rPr/>
        <w:t>и</w:t>
      </w:r>
      <w:r>
        <w:rPr>
          <w:spacing w:val="-6"/>
        </w:rPr>
        <w:t> </w:t>
      </w:r>
      <w:r>
        <w:rPr/>
        <w:t>социјална</w:t>
      </w:r>
      <w:r>
        <w:rPr>
          <w:spacing w:val="-9"/>
        </w:rPr>
        <w:t> </w:t>
      </w:r>
      <w:r>
        <w:rPr/>
        <w:t>питања</w:t>
      </w:r>
      <w:r>
        <w:rPr>
          <w:spacing w:val="-5"/>
        </w:rPr>
        <w:t> </w:t>
      </w:r>
      <w:r>
        <w:rPr/>
        <w:t>надлежно</w:t>
      </w:r>
      <w:r>
        <w:rPr>
          <w:spacing w:val="-7"/>
        </w:rPr>
        <w:t> </w:t>
      </w:r>
      <w:r>
        <w:rPr/>
        <w:t>је</w:t>
      </w:r>
      <w:r>
        <w:rPr>
          <w:spacing w:val="-7"/>
        </w:rPr>
        <w:t> </w:t>
      </w:r>
      <w:r>
        <w:rPr/>
        <w:t>за</w:t>
      </w:r>
      <w:r>
        <w:rPr>
          <w:spacing w:val="-8"/>
        </w:rPr>
        <w:t> </w:t>
      </w:r>
      <w:r>
        <w:rPr/>
        <w:t>креирање</w:t>
      </w:r>
      <w:r>
        <w:rPr>
          <w:spacing w:val="-8"/>
        </w:rPr>
        <w:t> </w:t>
      </w:r>
      <w:r>
        <w:rPr/>
        <w:t>и</w:t>
      </w:r>
      <w:r>
        <w:rPr>
          <w:spacing w:val="-6"/>
        </w:rPr>
        <w:t> </w:t>
      </w:r>
      <w:r>
        <w:rPr/>
        <w:t>праћење</w:t>
      </w:r>
      <w:r>
        <w:rPr>
          <w:spacing w:val="-6"/>
        </w:rPr>
        <w:t> </w:t>
      </w:r>
      <w:r>
        <w:rPr/>
        <w:t>спровођења мера АПЗ, док су као носиоци послова запошљавања утврђени НСЗ и агенције за </w:t>
      </w:r>
      <w:r>
        <w:rPr>
          <w:spacing w:val="-2"/>
        </w:rPr>
        <w:t>запошљавање.</w:t>
      </w:r>
    </w:p>
    <w:p>
      <w:pPr>
        <w:pStyle w:val="BodyText"/>
        <w:spacing w:before="120"/>
        <w:ind w:right="712" w:firstLine="719"/>
      </w:pPr>
      <w:r>
        <w:rPr/>
        <w:t>Постојећи људски капацитети унутрашњих организационих јединица које се баве политиком</w:t>
      </w:r>
      <w:r>
        <w:rPr>
          <w:spacing w:val="-15"/>
        </w:rPr>
        <w:t> </w:t>
      </w:r>
      <w:r>
        <w:rPr/>
        <w:t>запошљавања</w:t>
      </w:r>
      <w:r>
        <w:rPr>
          <w:spacing w:val="-15"/>
        </w:rPr>
        <w:t> </w:t>
      </w:r>
      <w:r>
        <w:rPr/>
        <w:t>на</w:t>
      </w:r>
      <w:r>
        <w:rPr>
          <w:spacing w:val="-15"/>
        </w:rPr>
        <w:t> </w:t>
      </w:r>
      <w:r>
        <w:rPr/>
        <w:t>нивоу</w:t>
      </w:r>
      <w:r>
        <w:rPr>
          <w:spacing w:val="-15"/>
        </w:rPr>
        <w:t> </w:t>
      </w:r>
      <w:r>
        <w:rPr/>
        <w:t>Министарства</w:t>
      </w:r>
      <w:r>
        <w:rPr>
          <w:spacing w:val="-15"/>
        </w:rPr>
        <w:t> </w:t>
      </w:r>
      <w:r>
        <w:rPr/>
        <w:t>за</w:t>
      </w:r>
      <w:r>
        <w:rPr>
          <w:spacing w:val="-15"/>
        </w:rPr>
        <w:t> </w:t>
      </w:r>
      <w:r>
        <w:rPr/>
        <w:t>рад,</w:t>
      </w:r>
      <w:r>
        <w:rPr>
          <w:spacing w:val="-15"/>
        </w:rPr>
        <w:t> </w:t>
      </w:r>
      <w:r>
        <w:rPr/>
        <w:t>запошљавање,</w:t>
      </w:r>
      <w:r>
        <w:rPr>
          <w:spacing w:val="-15"/>
        </w:rPr>
        <w:t> </w:t>
      </w:r>
      <w:r>
        <w:rPr/>
        <w:t>борачка</w:t>
      </w:r>
      <w:r>
        <w:rPr>
          <w:spacing w:val="-15"/>
        </w:rPr>
        <w:t> </w:t>
      </w:r>
      <w:r>
        <w:rPr/>
        <w:t>и</w:t>
      </w:r>
      <w:r>
        <w:rPr>
          <w:spacing w:val="-15"/>
        </w:rPr>
        <w:t> </w:t>
      </w:r>
      <w:r>
        <w:rPr/>
        <w:t>социјална питања морају се ојачати са већим бројем извршилаца уз перманентно улагање у развој компетенција ради правовременог, делотворног и ефикасност остваривања свих надлежности потребних за тренутни оквир политике запошљавања, што постаје још израженије уколико се у обзир узму и активности на пољу проширења циљева политике запошљавања условљене процесом придруживања и утицајем пандемије Ковид-19 на тржиште рада.</w:t>
      </w:r>
      <w:r>
        <w:rPr>
          <w:vertAlign w:val="superscript"/>
        </w:rPr>
        <w:t>42</w:t>
      </w:r>
      <w:r>
        <w:rPr>
          <w:vertAlign w:val="baseline"/>
        </w:rPr>
        <w:t>.</w:t>
      </w:r>
    </w:p>
    <w:p>
      <w:pPr>
        <w:pStyle w:val="BodyText"/>
        <w:spacing w:before="163"/>
        <w:ind w:left="0"/>
        <w:jc w:val="left"/>
        <w:rPr>
          <w:sz w:val="20"/>
        </w:rPr>
      </w:pPr>
      <w:r>
        <w:rPr>
          <w:sz w:val="20"/>
        </w:rPr>
        <mc:AlternateContent>
          <mc:Choice Requires="wps">
            <w:drawing>
              <wp:anchor distT="0" distB="0" distL="0" distR="0" allowOverlap="1" layoutInCell="1" locked="0" behindDoc="1" simplePos="0" relativeHeight="487603712">
                <wp:simplePos x="0" y="0"/>
                <wp:positionH relativeFrom="page">
                  <wp:posOffset>914704</wp:posOffset>
                </wp:positionH>
                <wp:positionV relativeFrom="paragraph">
                  <wp:posOffset>265060</wp:posOffset>
                </wp:positionV>
                <wp:extent cx="1829435" cy="9525"/>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870907pt;width:144.020pt;height:.72003pt;mso-position-horizontal-relative:page;mso-position-vertical-relative:paragraph;z-index:-15712768;mso-wrap-distance-left:0;mso-wrap-distance-right:0" id="docshape33" filled="true" fillcolor="#000000" stroked="false">
                <v:fill type="solid"/>
                <w10:wrap type="topAndBottom"/>
              </v:rect>
            </w:pict>
          </mc:Fallback>
        </mc:AlternateContent>
      </w:r>
    </w:p>
    <w:p>
      <w:pPr>
        <w:spacing w:line="261" w:lineRule="auto" w:before="96"/>
        <w:ind w:left="360" w:right="713" w:firstLine="0"/>
        <w:jc w:val="left"/>
        <w:rPr>
          <w:sz w:val="18"/>
        </w:rPr>
      </w:pPr>
      <w:r>
        <w:rPr>
          <w:rFonts w:ascii="Calibri" w:hAnsi="Calibri"/>
          <w:position w:val="8"/>
          <w:sz w:val="14"/>
        </w:rPr>
        <w:t>42</w:t>
      </w:r>
      <w:r>
        <w:rPr>
          <w:rFonts w:ascii="Calibri" w:hAnsi="Calibri"/>
          <w:spacing w:val="40"/>
          <w:position w:val="8"/>
          <w:sz w:val="14"/>
        </w:rPr>
        <w:t> </w:t>
      </w:r>
      <w:r>
        <w:rPr>
          <w:sz w:val="18"/>
        </w:rPr>
        <w:t>Преглед</w:t>
      </w:r>
      <w:r>
        <w:rPr>
          <w:spacing w:val="36"/>
          <w:sz w:val="18"/>
        </w:rPr>
        <w:t> </w:t>
      </w:r>
      <w:r>
        <w:rPr>
          <w:sz w:val="18"/>
        </w:rPr>
        <w:t>организације</w:t>
      </w:r>
      <w:r>
        <w:rPr>
          <w:spacing w:val="36"/>
          <w:sz w:val="18"/>
        </w:rPr>
        <w:t> </w:t>
      </w:r>
      <w:r>
        <w:rPr>
          <w:sz w:val="18"/>
        </w:rPr>
        <w:t>Одсека</w:t>
      </w:r>
      <w:r>
        <w:rPr>
          <w:spacing w:val="38"/>
          <w:sz w:val="18"/>
        </w:rPr>
        <w:t> </w:t>
      </w:r>
      <w:r>
        <w:rPr>
          <w:sz w:val="18"/>
        </w:rPr>
        <w:t>за</w:t>
      </w:r>
      <w:r>
        <w:rPr>
          <w:spacing w:val="36"/>
          <w:sz w:val="18"/>
        </w:rPr>
        <w:t> </w:t>
      </w:r>
      <w:r>
        <w:rPr>
          <w:sz w:val="18"/>
        </w:rPr>
        <w:t>активну</w:t>
      </w:r>
      <w:r>
        <w:rPr>
          <w:spacing w:val="33"/>
          <w:sz w:val="18"/>
        </w:rPr>
        <w:t> </w:t>
      </w:r>
      <w:r>
        <w:rPr>
          <w:sz w:val="18"/>
        </w:rPr>
        <w:t>политику</w:t>
      </w:r>
      <w:r>
        <w:rPr>
          <w:spacing w:val="33"/>
          <w:sz w:val="18"/>
        </w:rPr>
        <w:t> </w:t>
      </w:r>
      <w:r>
        <w:rPr>
          <w:sz w:val="18"/>
        </w:rPr>
        <w:t>запошљавања</w:t>
      </w:r>
      <w:r>
        <w:rPr>
          <w:spacing w:val="36"/>
          <w:sz w:val="18"/>
        </w:rPr>
        <w:t> </w:t>
      </w:r>
      <w:r>
        <w:rPr>
          <w:sz w:val="18"/>
        </w:rPr>
        <w:t>Министарства</w:t>
      </w:r>
      <w:r>
        <w:rPr>
          <w:spacing w:val="36"/>
          <w:sz w:val="18"/>
        </w:rPr>
        <w:t> </w:t>
      </w:r>
      <w:r>
        <w:rPr>
          <w:sz w:val="18"/>
        </w:rPr>
        <w:t>за</w:t>
      </w:r>
      <w:r>
        <w:rPr>
          <w:spacing w:val="36"/>
          <w:sz w:val="18"/>
        </w:rPr>
        <w:t> </w:t>
      </w:r>
      <w:r>
        <w:rPr>
          <w:sz w:val="18"/>
        </w:rPr>
        <w:t>рад,</w:t>
      </w:r>
      <w:r>
        <w:rPr>
          <w:spacing w:val="35"/>
          <w:sz w:val="18"/>
        </w:rPr>
        <w:t> </w:t>
      </w:r>
      <w:r>
        <w:rPr>
          <w:sz w:val="18"/>
        </w:rPr>
        <w:t>запошљавање,</w:t>
      </w:r>
      <w:r>
        <w:rPr>
          <w:spacing w:val="37"/>
          <w:sz w:val="18"/>
        </w:rPr>
        <w:t> </w:t>
      </w:r>
      <w:r>
        <w:rPr>
          <w:sz w:val="18"/>
        </w:rPr>
        <w:t>борачка</w:t>
      </w:r>
      <w:r>
        <w:rPr>
          <w:spacing w:val="36"/>
          <w:sz w:val="18"/>
        </w:rPr>
        <w:t> </w:t>
      </w:r>
      <w:r>
        <w:rPr>
          <w:sz w:val="18"/>
        </w:rPr>
        <w:t>и социјална питања Републике Србије (МОР, децембар 2020.)</w:t>
      </w:r>
    </w:p>
    <w:p>
      <w:pPr>
        <w:spacing w:after="0" w:line="261" w:lineRule="auto"/>
        <w:jc w:val="left"/>
        <w:rPr>
          <w:sz w:val="18"/>
        </w:rPr>
        <w:sectPr>
          <w:pgSz w:w="12240" w:h="15840"/>
          <w:pgMar w:header="0" w:footer="702" w:top="1360" w:bottom="900" w:left="1080" w:right="720"/>
        </w:sectPr>
      </w:pPr>
    </w:p>
    <w:p>
      <w:pPr>
        <w:pStyle w:val="BodyText"/>
        <w:spacing w:before="92"/>
        <w:ind w:right="713" w:firstLine="719"/>
      </w:pPr>
      <w:r>
        <w:rPr/>
        <w:t>Најновија анализа административних капацитета НСЗ</w:t>
      </w:r>
      <w:r>
        <w:rPr>
          <w:vertAlign w:val="superscript"/>
        </w:rPr>
        <w:t>43</w:t>
      </w:r>
      <w:r>
        <w:rPr>
          <w:vertAlign w:val="baseline"/>
        </w:rPr>
        <w:t> идентификује сегменте у којима је потребно извршити структурну реорганизацију НСЗ на централном и локалном нивоу ради унапређења квалитета услуга које се пружају корисницима, а кроз унутрашњу организацију</w:t>
      </w:r>
      <w:r>
        <w:rPr>
          <w:spacing w:val="-5"/>
          <w:vertAlign w:val="baseline"/>
        </w:rPr>
        <w:t> </w:t>
      </w:r>
      <w:r>
        <w:rPr>
          <w:vertAlign w:val="baseline"/>
        </w:rPr>
        <w:t>запослених која предност даје основним функцијама (које се баве директним радом са незапосленим лицима и послодавцима), у односу на функције подршке, пуну примену метода и инструмената за процену запошљивости и профилисање незапослених лица,</w:t>
      </w:r>
      <w:r>
        <w:rPr>
          <w:spacing w:val="-1"/>
          <w:vertAlign w:val="baseline"/>
        </w:rPr>
        <w:t> </w:t>
      </w:r>
      <w:r>
        <w:rPr>
          <w:vertAlign w:val="baseline"/>
        </w:rPr>
        <w:t>као и повећање финансијских ресурса и степена делотворности мера АПЗ. Повећање броја запослених на пословима директног рада са корисницима услуга у НСЗ омогућава пружање специфичних индивидуализованих услуга, посебно у домену посредовања у запошљавању,</w:t>
      </w:r>
      <w:r>
        <w:rPr>
          <w:spacing w:val="-1"/>
          <w:vertAlign w:val="baseline"/>
        </w:rPr>
        <w:t> </w:t>
      </w:r>
      <w:r>
        <w:rPr>
          <w:vertAlign w:val="baseline"/>
        </w:rPr>
        <w:t>циљане</w:t>
      </w:r>
      <w:r>
        <w:rPr>
          <w:spacing w:val="-2"/>
          <w:vertAlign w:val="baseline"/>
        </w:rPr>
        <w:t> </w:t>
      </w:r>
      <w:r>
        <w:rPr>
          <w:vertAlign w:val="baseline"/>
        </w:rPr>
        <w:t>селекције</w:t>
      </w:r>
      <w:r>
        <w:rPr>
          <w:spacing w:val="-2"/>
          <w:vertAlign w:val="baseline"/>
        </w:rPr>
        <w:t> </w:t>
      </w:r>
      <w:r>
        <w:rPr>
          <w:vertAlign w:val="baseline"/>
        </w:rPr>
        <w:t>незапослених</w:t>
      </w:r>
      <w:r>
        <w:rPr>
          <w:spacing w:val="-1"/>
          <w:vertAlign w:val="baseline"/>
        </w:rPr>
        <w:t> </w:t>
      </w:r>
      <w:r>
        <w:rPr>
          <w:vertAlign w:val="baseline"/>
        </w:rPr>
        <w:t>лица</w:t>
      </w:r>
      <w:r>
        <w:rPr>
          <w:spacing w:val="-2"/>
          <w:vertAlign w:val="baseline"/>
        </w:rPr>
        <w:t> </w:t>
      </w:r>
      <w:r>
        <w:rPr>
          <w:vertAlign w:val="baseline"/>
        </w:rPr>
        <w:t>за укључивање у</w:t>
      </w:r>
      <w:r>
        <w:rPr>
          <w:spacing w:val="-4"/>
          <w:vertAlign w:val="baseline"/>
        </w:rPr>
        <w:t> </w:t>
      </w:r>
      <w:r>
        <w:rPr>
          <w:vertAlign w:val="baseline"/>
        </w:rPr>
        <w:t>мере</w:t>
      </w:r>
      <w:r>
        <w:rPr>
          <w:spacing w:val="-2"/>
          <w:vertAlign w:val="baseline"/>
        </w:rPr>
        <w:t> </w:t>
      </w:r>
      <w:r>
        <w:rPr>
          <w:vertAlign w:val="baseline"/>
        </w:rPr>
        <w:t>АПЗ</w:t>
      </w:r>
      <w:r>
        <w:rPr>
          <w:spacing w:val="-2"/>
          <w:vertAlign w:val="baseline"/>
        </w:rPr>
        <w:t> </w:t>
      </w:r>
      <w:r>
        <w:rPr>
          <w:vertAlign w:val="baseline"/>
        </w:rPr>
        <w:t>и примене приступа интегрисаног пружања услуга са центрима за социјални рад и другим референтним институцијама. Посебно је потребно да НСЗ унапреди сарадњу са послодавцима, односно да повећа број послодаваца који се НСЗ обраћају за услугу посредовања у запошљавању. Такође, након измена прописа у области запошљавања, неопходно је увести методологију Евростата за праћење директних и индиректних трошкова</w:t>
      </w:r>
      <w:r>
        <w:rPr>
          <w:spacing w:val="-6"/>
          <w:vertAlign w:val="baseline"/>
        </w:rPr>
        <w:t> </w:t>
      </w:r>
      <w:r>
        <w:rPr>
          <w:vertAlign w:val="baseline"/>
        </w:rPr>
        <w:t>услуга</w:t>
      </w:r>
      <w:r>
        <w:rPr>
          <w:spacing w:val="-8"/>
          <w:vertAlign w:val="baseline"/>
        </w:rPr>
        <w:t> </w:t>
      </w:r>
      <w:r>
        <w:rPr>
          <w:vertAlign w:val="baseline"/>
        </w:rPr>
        <w:t>и</w:t>
      </w:r>
      <w:r>
        <w:rPr>
          <w:spacing w:val="-6"/>
          <w:vertAlign w:val="baseline"/>
        </w:rPr>
        <w:t> </w:t>
      </w:r>
      <w:r>
        <w:rPr>
          <w:vertAlign w:val="baseline"/>
        </w:rPr>
        <w:t>мера</w:t>
      </w:r>
      <w:r>
        <w:rPr>
          <w:spacing w:val="-6"/>
          <w:vertAlign w:val="baseline"/>
        </w:rPr>
        <w:t> </w:t>
      </w:r>
      <w:r>
        <w:rPr>
          <w:vertAlign w:val="baseline"/>
        </w:rPr>
        <w:t>АПЗ</w:t>
      </w:r>
      <w:r>
        <w:rPr>
          <w:spacing w:val="-7"/>
          <w:vertAlign w:val="baseline"/>
        </w:rPr>
        <w:t> </w:t>
      </w:r>
      <w:r>
        <w:rPr>
          <w:vertAlign w:val="baseline"/>
        </w:rPr>
        <w:t>и</w:t>
      </w:r>
      <w:r>
        <w:rPr>
          <w:spacing w:val="-6"/>
          <w:vertAlign w:val="baseline"/>
        </w:rPr>
        <w:t> </w:t>
      </w:r>
      <w:r>
        <w:rPr>
          <w:vertAlign w:val="baseline"/>
        </w:rPr>
        <w:t>даље</w:t>
      </w:r>
      <w:r>
        <w:rPr>
          <w:spacing w:val="-5"/>
          <w:vertAlign w:val="baseline"/>
        </w:rPr>
        <w:t> </w:t>
      </w:r>
      <w:r>
        <w:rPr>
          <w:vertAlign w:val="baseline"/>
        </w:rPr>
        <w:t>унапређивати</w:t>
      </w:r>
      <w:r>
        <w:rPr>
          <w:spacing w:val="-5"/>
          <w:vertAlign w:val="baseline"/>
        </w:rPr>
        <w:t> </w:t>
      </w:r>
      <w:r>
        <w:rPr>
          <w:vertAlign w:val="baseline"/>
        </w:rPr>
        <w:t>систем</w:t>
      </w:r>
      <w:r>
        <w:rPr>
          <w:spacing w:val="-8"/>
          <w:vertAlign w:val="baseline"/>
        </w:rPr>
        <w:t> </w:t>
      </w:r>
      <w:r>
        <w:rPr>
          <w:vertAlign w:val="baseline"/>
        </w:rPr>
        <w:t>прикупљања</w:t>
      </w:r>
      <w:r>
        <w:rPr>
          <w:spacing w:val="-8"/>
          <w:vertAlign w:val="baseline"/>
        </w:rPr>
        <w:t> </w:t>
      </w:r>
      <w:r>
        <w:rPr>
          <w:vertAlign w:val="baseline"/>
        </w:rPr>
        <w:t>и</w:t>
      </w:r>
      <w:r>
        <w:rPr>
          <w:spacing w:val="-6"/>
          <w:vertAlign w:val="baseline"/>
        </w:rPr>
        <w:t> </w:t>
      </w:r>
      <w:r>
        <w:rPr>
          <w:vertAlign w:val="baseline"/>
        </w:rPr>
        <w:t>анализе</w:t>
      </w:r>
      <w:r>
        <w:rPr>
          <w:spacing w:val="-8"/>
          <w:vertAlign w:val="baseline"/>
        </w:rPr>
        <w:t> </w:t>
      </w:r>
      <w:r>
        <w:rPr>
          <w:vertAlign w:val="baseline"/>
        </w:rPr>
        <w:t>података, те унапређивати начин извештавања НСЗ. Тренутни ИТ капацитети НСЗ представљају добру</w:t>
      </w:r>
      <w:r>
        <w:rPr>
          <w:spacing w:val="-1"/>
          <w:vertAlign w:val="baseline"/>
        </w:rPr>
        <w:t> </w:t>
      </w:r>
      <w:r>
        <w:rPr>
          <w:vertAlign w:val="baseline"/>
        </w:rPr>
        <w:t>основу</w:t>
      </w:r>
      <w:r>
        <w:rPr>
          <w:spacing w:val="-1"/>
          <w:vertAlign w:val="baseline"/>
        </w:rPr>
        <w:t> </w:t>
      </w:r>
      <w:r>
        <w:rPr>
          <w:vertAlign w:val="baseline"/>
        </w:rPr>
        <w:t>за дигитализацију</w:t>
      </w:r>
      <w:r>
        <w:rPr>
          <w:spacing w:val="-4"/>
          <w:vertAlign w:val="baseline"/>
        </w:rPr>
        <w:t> </w:t>
      </w:r>
      <w:r>
        <w:rPr>
          <w:vertAlign w:val="baseline"/>
        </w:rPr>
        <w:t>појединих услуга, а ситуација изазвана вирусом Ковид-19 само је додатно показала да је потребно подржати напоре у овом правцу. Сврха дигитализације</w:t>
      </w:r>
      <w:r>
        <w:rPr>
          <w:spacing w:val="-2"/>
          <w:vertAlign w:val="baseline"/>
        </w:rPr>
        <w:t> </w:t>
      </w:r>
      <w:r>
        <w:rPr>
          <w:vertAlign w:val="baseline"/>
        </w:rPr>
        <w:t>јесте</w:t>
      </w:r>
      <w:r>
        <w:rPr>
          <w:spacing w:val="-2"/>
          <w:vertAlign w:val="baseline"/>
        </w:rPr>
        <w:t> </w:t>
      </w:r>
      <w:r>
        <w:rPr>
          <w:vertAlign w:val="baseline"/>
        </w:rPr>
        <w:t>да</w:t>
      </w:r>
      <w:r>
        <w:rPr>
          <w:spacing w:val="-2"/>
          <w:vertAlign w:val="baseline"/>
        </w:rPr>
        <w:t> </w:t>
      </w:r>
      <w:r>
        <w:rPr>
          <w:vertAlign w:val="baseline"/>
        </w:rPr>
        <w:t>се услуге</w:t>
      </w:r>
      <w:r>
        <w:rPr>
          <w:spacing w:val="-2"/>
          <w:vertAlign w:val="baseline"/>
        </w:rPr>
        <w:t> </w:t>
      </w:r>
      <w:r>
        <w:rPr>
          <w:vertAlign w:val="baseline"/>
        </w:rPr>
        <w:t>НСЗ учине</w:t>
      </w:r>
      <w:r>
        <w:rPr>
          <w:spacing w:val="-2"/>
          <w:vertAlign w:val="baseline"/>
        </w:rPr>
        <w:t> </w:t>
      </w:r>
      <w:r>
        <w:rPr>
          <w:vertAlign w:val="baseline"/>
        </w:rPr>
        <w:t>доступнијим</w:t>
      </w:r>
      <w:r>
        <w:rPr>
          <w:spacing w:val="-2"/>
          <w:vertAlign w:val="baseline"/>
        </w:rPr>
        <w:t> </w:t>
      </w:r>
      <w:r>
        <w:rPr>
          <w:vertAlign w:val="baseline"/>
        </w:rPr>
        <w:t>лакше</w:t>
      </w:r>
      <w:r>
        <w:rPr>
          <w:spacing w:val="-4"/>
          <w:vertAlign w:val="baseline"/>
        </w:rPr>
        <w:t> </w:t>
      </w:r>
      <w:r>
        <w:rPr>
          <w:vertAlign w:val="baseline"/>
        </w:rPr>
        <w:t>запошљивим</w:t>
      </w:r>
      <w:r>
        <w:rPr>
          <w:spacing w:val="-2"/>
          <w:vertAlign w:val="baseline"/>
        </w:rPr>
        <w:t> </w:t>
      </w:r>
      <w:r>
        <w:rPr>
          <w:vertAlign w:val="baseline"/>
        </w:rPr>
        <w:t>лицима</w:t>
      </w:r>
      <w:r>
        <w:rPr>
          <w:spacing w:val="-2"/>
          <w:vertAlign w:val="baseline"/>
        </w:rPr>
        <w:t> </w:t>
      </w:r>
      <w:r>
        <w:rPr>
          <w:vertAlign w:val="baseline"/>
        </w:rPr>
        <w:t>и да се</w:t>
      </w:r>
      <w:r>
        <w:rPr>
          <w:spacing w:val="-8"/>
          <w:vertAlign w:val="baseline"/>
        </w:rPr>
        <w:t> </w:t>
      </w:r>
      <w:r>
        <w:rPr>
          <w:vertAlign w:val="baseline"/>
        </w:rPr>
        <w:t>тако</w:t>
      </w:r>
      <w:r>
        <w:rPr>
          <w:spacing w:val="-7"/>
          <w:vertAlign w:val="baseline"/>
        </w:rPr>
        <w:t> </w:t>
      </w:r>
      <w:r>
        <w:rPr>
          <w:vertAlign w:val="baseline"/>
        </w:rPr>
        <w:t>додатно</w:t>
      </w:r>
      <w:r>
        <w:rPr>
          <w:spacing w:val="-7"/>
          <w:vertAlign w:val="baseline"/>
        </w:rPr>
        <w:t> </w:t>
      </w:r>
      <w:r>
        <w:rPr>
          <w:vertAlign w:val="baseline"/>
        </w:rPr>
        <w:t>подстакне</w:t>
      </w:r>
      <w:r>
        <w:rPr>
          <w:spacing w:val="-8"/>
          <w:vertAlign w:val="baseline"/>
        </w:rPr>
        <w:t> </w:t>
      </w:r>
      <w:r>
        <w:rPr>
          <w:vertAlign w:val="baseline"/>
        </w:rPr>
        <w:t>њихова</w:t>
      </w:r>
      <w:r>
        <w:rPr>
          <w:spacing w:val="-9"/>
          <w:vertAlign w:val="baseline"/>
        </w:rPr>
        <w:t> </w:t>
      </w:r>
      <w:r>
        <w:rPr>
          <w:vertAlign w:val="baseline"/>
        </w:rPr>
        <w:t>активност,</w:t>
      </w:r>
      <w:r>
        <w:rPr>
          <w:spacing w:val="-9"/>
          <w:vertAlign w:val="baseline"/>
        </w:rPr>
        <w:t> </w:t>
      </w:r>
      <w:r>
        <w:rPr>
          <w:vertAlign w:val="baseline"/>
        </w:rPr>
        <w:t>што</w:t>
      </w:r>
      <w:r>
        <w:rPr>
          <w:spacing w:val="-7"/>
          <w:vertAlign w:val="baseline"/>
        </w:rPr>
        <w:t> </w:t>
      </w:r>
      <w:r>
        <w:rPr>
          <w:vertAlign w:val="baseline"/>
        </w:rPr>
        <w:t>истовремено</w:t>
      </w:r>
      <w:r>
        <w:rPr>
          <w:spacing w:val="-7"/>
          <w:vertAlign w:val="baseline"/>
        </w:rPr>
        <w:t> </w:t>
      </w:r>
      <w:r>
        <w:rPr>
          <w:vertAlign w:val="baseline"/>
        </w:rPr>
        <w:t>омогућава</w:t>
      </w:r>
      <w:r>
        <w:rPr>
          <w:spacing w:val="-9"/>
          <w:vertAlign w:val="baseline"/>
        </w:rPr>
        <w:t> </w:t>
      </w:r>
      <w:r>
        <w:rPr>
          <w:vertAlign w:val="baseline"/>
        </w:rPr>
        <w:t>да</w:t>
      </w:r>
      <w:r>
        <w:rPr>
          <w:spacing w:val="-6"/>
          <w:vertAlign w:val="baseline"/>
        </w:rPr>
        <w:t> </w:t>
      </w:r>
      <w:r>
        <w:rPr>
          <w:vertAlign w:val="baseline"/>
        </w:rPr>
        <w:t>се</w:t>
      </w:r>
      <w:r>
        <w:rPr>
          <w:spacing w:val="-8"/>
          <w:vertAlign w:val="baseline"/>
        </w:rPr>
        <w:t> </w:t>
      </w:r>
      <w:r>
        <w:rPr>
          <w:vertAlign w:val="baseline"/>
        </w:rPr>
        <w:t>капацитети НСЗ за непосредно пружање услуга усмере на теже запошљива лица којима је потребна интензивна подршка. Стога дигитализацији услуга треба приступити пажљиво, водећи рачуна о категоријама лица којима су виртуелне услуге намењене, како би се избегла додатна пасивизација теже запошљивих лица. Сајам запошљавања, обука за активно тражење посла и обука за предузетништво само су неке од услуга које је могуће дигитализовати, водећи</w:t>
      </w:r>
      <w:r>
        <w:rPr>
          <w:spacing w:val="-1"/>
          <w:vertAlign w:val="baseline"/>
        </w:rPr>
        <w:t> </w:t>
      </w:r>
      <w:r>
        <w:rPr>
          <w:vertAlign w:val="baseline"/>
        </w:rPr>
        <w:t>рачуна</w:t>
      </w:r>
      <w:r>
        <w:rPr>
          <w:spacing w:val="-1"/>
          <w:vertAlign w:val="baseline"/>
        </w:rPr>
        <w:t> </w:t>
      </w:r>
      <w:r>
        <w:rPr>
          <w:vertAlign w:val="baseline"/>
        </w:rPr>
        <w:t>о циљној групи корисника. Дигитализација индивидуалног плана</w:t>
      </w:r>
      <w:r>
        <w:rPr>
          <w:spacing w:val="-6"/>
          <w:vertAlign w:val="baseline"/>
        </w:rPr>
        <w:t> </w:t>
      </w:r>
      <w:r>
        <w:rPr>
          <w:vertAlign w:val="baseline"/>
        </w:rPr>
        <w:t>запошљавања</w:t>
      </w:r>
      <w:r>
        <w:rPr>
          <w:spacing w:val="-6"/>
          <w:vertAlign w:val="baseline"/>
        </w:rPr>
        <w:t> </w:t>
      </w:r>
      <w:r>
        <w:rPr>
          <w:vertAlign w:val="baseline"/>
        </w:rPr>
        <w:t>допринела</w:t>
      </w:r>
      <w:r>
        <w:rPr>
          <w:spacing w:val="-6"/>
          <w:vertAlign w:val="baseline"/>
        </w:rPr>
        <w:t> </w:t>
      </w:r>
      <w:r>
        <w:rPr>
          <w:vertAlign w:val="baseline"/>
        </w:rPr>
        <w:t>би</w:t>
      </w:r>
      <w:r>
        <w:rPr>
          <w:spacing w:val="-4"/>
          <w:vertAlign w:val="baseline"/>
        </w:rPr>
        <w:t> </w:t>
      </w:r>
      <w:r>
        <w:rPr>
          <w:vertAlign w:val="baseline"/>
        </w:rPr>
        <w:t>активацији</w:t>
      </w:r>
      <w:r>
        <w:rPr>
          <w:spacing w:val="-6"/>
          <w:vertAlign w:val="baseline"/>
        </w:rPr>
        <w:t> </w:t>
      </w:r>
      <w:r>
        <w:rPr>
          <w:vertAlign w:val="baseline"/>
        </w:rPr>
        <w:t>незапосленог</w:t>
      </w:r>
      <w:r>
        <w:rPr>
          <w:spacing w:val="-5"/>
          <w:vertAlign w:val="baseline"/>
        </w:rPr>
        <w:t> </w:t>
      </w:r>
      <w:r>
        <w:rPr>
          <w:vertAlign w:val="baseline"/>
        </w:rPr>
        <w:t>лица</w:t>
      </w:r>
      <w:r>
        <w:rPr>
          <w:spacing w:val="-6"/>
          <w:vertAlign w:val="baseline"/>
        </w:rPr>
        <w:t> </w:t>
      </w:r>
      <w:r>
        <w:rPr>
          <w:vertAlign w:val="baseline"/>
        </w:rPr>
        <w:t>које</w:t>
      </w:r>
      <w:r>
        <w:rPr>
          <w:spacing w:val="-8"/>
          <w:vertAlign w:val="baseline"/>
        </w:rPr>
        <w:t> </w:t>
      </w:r>
      <w:r>
        <w:rPr>
          <w:vertAlign w:val="baseline"/>
        </w:rPr>
        <w:t>би</w:t>
      </w:r>
      <w:r>
        <w:rPr>
          <w:spacing w:val="-1"/>
          <w:vertAlign w:val="baseline"/>
        </w:rPr>
        <w:t> </w:t>
      </w:r>
      <w:r>
        <w:rPr>
          <w:vertAlign w:val="baseline"/>
        </w:rPr>
        <w:t>у</w:t>
      </w:r>
      <w:r>
        <w:rPr>
          <w:spacing w:val="-10"/>
          <w:vertAlign w:val="baseline"/>
        </w:rPr>
        <w:t> </w:t>
      </w:r>
      <w:r>
        <w:rPr>
          <w:vertAlign w:val="baseline"/>
        </w:rPr>
        <w:t>сваком</w:t>
      </w:r>
      <w:r>
        <w:rPr>
          <w:spacing w:val="-6"/>
          <w:vertAlign w:val="baseline"/>
        </w:rPr>
        <w:t> </w:t>
      </w:r>
      <w:r>
        <w:rPr>
          <w:vertAlign w:val="baseline"/>
        </w:rPr>
        <w:t>тренутку могло</w:t>
      </w:r>
      <w:r>
        <w:rPr>
          <w:spacing w:val="-8"/>
          <w:vertAlign w:val="baseline"/>
        </w:rPr>
        <w:t> </w:t>
      </w:r>
      <w:r>
        <w:rPr>
          <w:vertAlign w:val="baseline"/>
        </w:rPr>
        <w:t>да</w:t>
      </w:r>
      <w:r>
        <w:rPr>
          <w:spacing w:val="-9"/>
          <w:vertAlign w:val="baseline"/>
        </w:rPr>
        <w:t> </w:t>
      </w:r>
      <w:r>
        <w:rPr>
          <w:vertAlign w:val="baseline"/>
        </w:rPr>
        <w:t>се</w:t>
      </w:r>
      <w:r>
        <w:rPr>
          <w:spacing w:val="-9"/>
          <w:vertAlign w:val="baseline"/>
        </w:rPr>
        <w:t> </w:t>
      </w:r>
      <w:r>
        <w:rPr>
          <w:vertAlign w:val="baseline"/>
        </w:rPr>
        <w:t>подсети</w:t>
      </w:r>
      <w:r>
        <w:rPr>
          <w:spacing w:val="-9"/>
          <w:vertAlign w:val="baseline"/>
        </w:rPr>
        <w:t> </w:t>
      </w:r>
      <w:r>
        <w:rPr>
          <w:vertAlign w:val="baseline"/>
        </w:rPr>
        <w:t>на</w:t>
      </w:r>
      <w:r>
        <w:rPr>
          <w:spacing w:val="-12"/>
          <w:vertAlign w:val="baseline"/>
        </w:rPr>
        <w:t> </w:t>
      </w:r>
      <w:r>
        <w:rPr>
          <w:vertAlign w:val="baseline"/>
        </w:rPr>
        <w:t>договорене</w:t>
      </w:r>
      <w:r>
        <w:rPr>
          <w:spacing w:val="-8"/>
          <w:vertAlign w:val="baseline"/>
        </w:rPr>
        <w:t> </w:t>
      </w:r>
      <w:r>
        <w:rPr>
          <w:vertAlign w:val="baseline"/>
        </w:rPr>
        <w:t>мере</w:t>
      </w:r>
      <w:r>
        <w:rPr>
          <w:spacing w:val="-9"/>
          <w:vertAlign w:val="baseline"/>
        </w:rPr>
        <w:t> </w:t>
      </w:r>
      <w:r>
        <w:rPr>
          <w:vertAlign w:val="baseline"/>
        </w:rPr>
        <w:t>и</w:t>
      </w:r>
      <w:r>
        <w:rPr>
          <w:spacing w:val="-7"/>
          <w:vertAlign w:val="baseline"/>
        </w:rPr>
        <w:t> </w:t>
      </w:r>
      <w:r>
        <w:rPr>
          <w:vertAlign w:val="baseline"/>
        </w:rPr>
        <w:t>активности</w:t>
      </w:r>
      <w:r>
        <w:rPr>
          <w:spacing w:val="-9"/>
          <w:vertAlign w:val="baseline"/>
        </w:rPr>
        <w:t> </w:t>
      </w:r>
      <w:r>
        <w:rPr>
          <w:vertAlign w:val="baseline"/>
        </w:rPr>
        <w:t>и</w:t>
      </w:r>
      <w:r>
        <w:rPr>
          <w:spacing w:val="-7"/>
          <w:vertAlign w:val="baseline"/>
        </w:rPr>
        <w:t> </w:t>
      </w:r>
      <w:r>
        <w:rPr>
          <w:vertAlign w:val="baseline"/>
        </w:rPr>
        <w:t>да</w:t>
      </w:r>
      <w:r>
        <w:rPr>
          <w:spacing w:val="-11"/>
          <w:vertAlign w:val="baseline"/>
        </w:rPr>
        <w:t> </w:t>
      </w:r>
      <w:r>
        <w:rPr>
          <w:vertAlign w:val="baseline"/>
        </w:rPr>
        <w:t>иницира</w:t>
      </w:r>
      <w:r>
        <w:rPr>
          <w:spacing w:val="-9"/>
          <w:vertAlign w:val="baseline"/>
        </w:rPr>
        <w:t> </w:t>
      </w:r>
      <w:r>
        <w:rPr>
          <w:vertAlign w:val="baseline"/>
        </w:rPr>
        <w:t>одређене</w:t>
      </w:r>
      <w:r>
        <w:rPr>
          <w:spacing w:val="-9"/>
          <w:vertAlign w:val="baseline"/>
        </w:rPr>
        <w:t> </w:t>
      </w:r>
      <w:r>
        <w:rPr>
          <w:vertAlign w:val="baseline"/>
        </w:rPr>
        <w:t>измене,</w:t>
      </w:r>
      <w:r>
        <w:rPr>
          <w:spacing w:val="-8"/>
          <w:vertAlign w:val="baseline"/>
        </w:rPr>
        <w:t> </w:t>
      </w:r>
      <w:r>
        <w:rPr>
          <w:vertAlign w:val="baseline"/>
        </w:rPr>
        <w:t>али</w:t>
      </w:r>
      <w:r>
        <w:rPr>
          <w:spacing w:val="-7"/>
          <w:vertAlign w:val="baseline"/>
        </w:rPr>
        <w:t> </w:t>
      </w:r>
      <w:r>
        <w:rPr>
          <w:vertAlign w:val="baseline"/>
        </w:rPr>
        <w:t>не би</w:t>
      </w:r>
      <w:r>
        <w:rPr>
          <w:spacing w:val="-7"/>
          <w:vertAlign w:val="baseline"/>
        </w:rPr>
        <w:t> </w:t>
      </w:r>
      <w:r>
        <w:rPr>
          <w:vertAlign w:val="baseline"/>
        </w:rPr>
        <w:t>требало</w:t>
      </w:r>
      <w:r>
        <w:rPr>
          <w:spacing w:val="-8"/>
          <w:vertAlign w:val="baseline"/>
        </w:rPr>
        <w:t> </w:t>
      </w:r>
      <w:r>
        <w:rPr>
          <w:vertAlign w:val="baseline"/>
        </w:rPr>
        <w:t>да</w:t>
      </w:r>
      <w:r>
        <w:rPr>
          <w:spacing w:val="-9"/>
          <w:vertAlign w:val="baseline"/>
        </w:rPr>
        <w:t> </w:t>
      </w:r>
      <w:r>
        <w:rPr>
          <w:vertAlign w:val="baseline"/>
        </w:rPr>
        <w:t>представља</w:t>
      </w:r>
      <w:r>
        <w:rPr>
          <w:spacing w:val="-9"/>
          <w:vertAlign w:val="baseline"/>
        </w:rPr>
        <w:t> </w:t>
      </w:r>
      <w:r>
        <w:rPr>
          <w:vertAlign w:val="baseline"/>
        </w:rPr>
        <w:t>замену</w:t>
      </w:r>
      <w:r>
        <w:rPr>
          <w:spacing w:val="-13"/>
          <w:vertAlign w:val="baseline"/>
        </w:rPr>
        <w:t> </w:t>
      </w:r>
      <w:r>
        <w:rPr>
          <w:vertAlign w:val="baseline"/>
        </w:rPr>
        <w:t>за</w:t>
      </w:r>
      <w:r>
        <w:rPr>
          <w:spacing w:val="-9"/>
          <w:vertAlign w:val="baseline"/>
        </w:rPr>
        <w:t> </w:t>
      </w:r>
      <w:r>
        <w:rPr>
          <w:vertAlign w:val="baseline"/>
        </w:rPr>
        <w:t>индивидуални</w:t>
      </w:r>
      <w:r>
        <w:rPr>
          <w:spacing w:val="-7"/>
          <w:vertAlign w:val="baseline"/>
        </w:rPr>
        <w:t> </w:t>
      </w:r>
      <w:r>
        <w:rPr>
          <w:vertAlign w:val="baseline"/>
        </w:rPr>
        <w:t>разговор</w:t>
      </w:r>
      <w:r>
        <w:rPr>
          <w:spacing w:val="-9"/>
          <w:vertAlign w:val="baseline"/>
        </w:rPr>
        <w:t> </w:t>
      </w:r>
      <w:r>
        <w:rPr>
          <w:vertAlign w:val="baseline"/>
        </w:rPr>
        <w:t>са</w:t>
      </w:r>
      <w:r>
        <w:rPr>
          <w:spacing w:val="-9"/>
          <w:vertAlign w:val="baseline"/>
        </w:rPr>
        <w:t> </w:t>
      </w:r>
      <w:r>
        <w:rPr>
          <w:vertAlign w:val="baseline"/>
        </w:rPr>
        <w:t>саветником</w:t>
      </w:r>
      <w:r>
        <w:rPr>
          <w:spacing w:val="-9"/>
          <w:vertAlign w:val="baseline"/>
        </w:rPr>
        <w:t> </w:t>
      </w:r>
      <w:r>
        <w:rPr>
          <w:vertAlign w:val="baseline"/>
        </w:rPr>
        <w:t>за</w:t>
      </w:r>
      <w:r>
        <w:rPr>
          <w:spacing w:val="-9"/>
          <w:vertAlign w:val="baseline"/>
        </w:rPr>
        <w:t> </w:t>
      </w:r>
      <w:r>
        <w:rPr>
          <w:vertAlign w:val="baseline"/>
        </w:rPr>
        <w:t>запошљавање када су у питању теже запошљива лица. У циљу информисања јавности и омогућавања коришћења услуга</w:t>
      </w:r>
      <w:r>
        <w:rPr>
          <w:spacing w:val="-1"/>
          <w:vertAlign w:val="baseline"/>
        </w:rPr>
        <w:t> </w:t>
      </w:r>
      <w:r>
        <w:rPr>
          <w:vertAlign w:val="baseline"/>
        </w:rPr>
        <w:t>и мера</w:t>
      </w:r>
      <w:r>
        <w:rPr>
          <w:spacing w:val="-1"/>
          <w:vertAlign w:val="baseline"/>
        </w:rPr>
        <w:t> </w:t>
      </w:r>
      <w:r>
        <w:rPr>
          <w:vertAlign w:val="baseline"/>
        </w:rPr>
        <w:t>НСЗ свим</w:t>
      </w:r>
      <w:r>
        <w:rPr>
          <w:spacing w:val="-1"/>
          <w:vertAlign w:val="baseline"/>
        </w:rPr>
        <w:t> </w:t>
      </w:r>
      <w:r>
        <w:rPr>
          <w:vertAlign w:val="baseline"/>
        </w:rPr>
        <w:t>потенцијалним</w:t>
      </w:r>
      <w:r>
        <w:rPr>
          <w:spacing w:val="-1"/>
          <w:vertAlign w:val="baseline"/>
        </w:rPr>
        <w:t> </w:t>
      </w:r>
      <w:r>
        <w:rPr>
          <w:vertAlign w:val="baseline"/>
        </w:rPr>
        <w:t>корисницима, потребно је</w:t>
      </w:r>
      <w:r>
        <w:rPr>
          <w:spacing w:val="-1"/>
          <w:vertAlign w:val="baseline"/>
        </w:rPr>
        <w:t> </w:t>
      </w:r>
      <w:r>
        <w:rPr>
          <w:vertAlign w:val="baseline"/>
        </w:rPr>
        <w:t>окренути се и дигиталном маркетингу, поред кампања на јавној и локалним телевизијама. Дигитализација може да се стави и у функцију обједињавања различитих извора информација о слободним пословима, што би омогућило боље сагледавање ситуације на тржишту</w:t>
      </w:r>
      <w:r>
        <w:rPr>
          <w:spacing w:val="-15"/>
          <w:vertAlign w:val="baseline"/>
        </w:rPr>
        <w:t> </w:t>
      </w:r>
      <w:r>
        <w:rPr>
          <w:vertAlign w:val="baseline"/>
        </w:rPr>
        <w:t>рада</w:t>
      </w:r>
      <w:r>
        <w:rPr>
          <w:spacing w:val="-8"/>
          <w:vertAlign w:val="baseline"/>
        </w:rPr>
        <w:t> </w:t>
      </w:r>
      <w:r>
        <w:rPr>
          <w:vertAlign w:val="baseline"/>
        </w:rPr>
        <w:t>у</w:t>
      </w:r>
      <w:r>
        <w:rPr>
          <w:spacing w:val="-14"/>
          <w:vertAlign w:val="baseline"/>
        </w:rPr>
        <w:t> </w:t>
      </w:r>
      <w:r>
        <w:rPr>
          <w:vertAlign w:val="baseline"/>
        </w:rPr>
        <w:t>циљу</w:t>
      </w:r>
      <w:r>
        <w:rPr>
          <w:spacing w:val="-10"/>
          <w:vertAlign w:val="baseline"/>
        </w:rPr>
        <w:t> </w:t>
      </w:r>
      <w:r>
        <w:rPr>
          <w:vertAlign w:val="baseline"/>
        </w:rPr>
        <w:t>унапређења</w:t>
      </w:r>
      <w:r>
        <w:rPr>
          <w:spacing w:val="-11"/>
          <w:vertAlign w:val="baseline"/>
        </w:rPr>
        <w:t> </w:t>
      </w:r>
      <w:r>
        <w:rPr>
          <w:vertAlign w:val="baseline"/>
        </w:rPr>
        <w:t>како</w:t>
      </w:r>
      <w:r>
        <w:rPr>
          <w:spacing w:val="-10"/>
          <w:vertAlign w:val="baseline"/>
        </w:rPr>
        <w:t> </w:t>
      </w:r>
      <w:r>
        <w:rPr>
          <w:vertAlign w:val="baseline"/>
        </w:rPr>
        <w:t>сарадње</w:t>
      </w:r>
      <w:r>
        <w:rPr>
          <w:spacing w:val="-11"/>
          <w:vertAlign w:val="baseline"/>
        </w:rPr>
        <w:t> </w:t>
      </w:r>
      <w:r>
        <w:rPr>
          <w:vertAlign w:val="baseline"/>
        </w:rPr>
        <w:t>са</w:t>
      </w:r>
      <w:r>
        <w:rPr>
          <w:spacing w:val="-11"/>
          <w:vertAlign w:val="baseline"/>
        </w:rPr>
        <w:t> </w:t>
      </w:r>
      <w:r>
        <w:rPr>
          <w:vertAlign w:val="baseline"/>
        </w:rPr>
        <w:t>послодавцима,</w:t>
      </w:r>
      <w:r>
        <w:rPr>
          <w:spacing w:val="-10"/>
          <w:vertAlign w:val="baseline"/>
        </w:rPr>
        <w:t> </w:t>
      </w:r>
      <w:r>
        <w:rPr>
          <w:vertAlign w:val="baseline"/>
        </w:rPr>
        <w:t>тако</w:t>
      </w:r>
      <w:r>
        <w:rPr>
          <w:spacing w:val="-9"/>
          <w:vertAlign w:val="baseline"/>
        </w:rPr>
        <w:t> </w:t>
      </w:r>
      <w:r>
        <w:rPr>
          <w:vertAlign w:val="baseline"/>
        </w:rPr>
        <w:t>и</w:t>
      </w:r>
      <w:r>
        <w:rPr>
          <w:spacing w:val="-9"/>
          <w:vertAlign w:val="baseline"/>
        </w:rPr>
        <w:t> </w:t>
      </w:r>
      <w:r>
        <w:rPr>
          <w:vertAlign w:val="baseline"/>
        </w:rPr>
        <w:t>саветодавног</w:t>
      </w:r>
      <w:r>
        <w:rPr>
          <w:spacing w:val="-10"/>
          <w:vertAlign w:val="baseline"/>
        </w:rPr>
        <w:t> </w:t>
      </w:r>
      <w:r>
        <w:rPr>
          <w:vertAlign w:val="baseline"/>
        </w:rPr>
        <w:t>рада, односно, планирања мера АПЗ.</w:t>
      </w:r>
    </w:p>
    <w:p>
      <w:pPr>
        <w:pStyle w:val="BodyText"/>
        <w:spacing w:before="123"/>
        <w:ind w:right="714" w:firstLine="719"/>
      </w:pPr>
      <w:r>
        <w:rPr/>
        <w:t>Агенције за запошљавање, иако утврђене као носиоци послова запошљавања, у пракси се искључиво баве пословима посредовања у запошљавању (примарно у иностранству или посредовања у земљи на руководећим/управљачким функцијама – тзв. head hunting).</w:t>
      </w:r>
    </w:p>
    <w:p>
      <w:pPr>
        <w:pStyle w:val="BodyText"/>
        <w:spacing w:before="120"/>
        <w:ind w:right="717" w:firstLine="719"/>
      </w:pPr>
      <w:r>
        <w:rPr/>
        <w:t>Потреба за јачањем улоге агенција за запошљавање као носиоца послова запошљавања,</w:t>
      </w:r>
      <w:r>
        <w:rPr>
          <w:spacing w:val="51"/>
        </w:rPr>
        <w:t> </w:t>
      </w:r>
      <w:r>
        <w:rPr/>
        <w:t>укључујући</w:t>
      </w:r>
      <w:r>
        <w:rPr>
          <w:spacing w:val="50"/>
        </w:rPr>
        <w:t> </w:t>
      </w:r>
      <w:r>
        <w:rPr/>
        <w:t>пружање</w:t>
      </w:r>
      <w:r>
        <w:rPr>
          <w:spacing w:val="52"/>
        </w:rPr>
        <w:t> </w:t>
      </w:r>
      <w:r>
        <w:rPr/>
        <w:t>услуга</w:t>
      </w:r>
      <w:r>
        <w:rPr>
          <w:spacing w:val="55"/>
        </w:rPr>
        <w:t> </w:t>
      </w:r>
      <w:r>
        <w:rPr/>
        <w:t>КВиС</w:t>
      </w:r>
      <w:r>
        <w:rPr>
          <w:spacing w:val="50"/>
        </w:rPr>
        <w:t> </w:t>
      </w:r>
      <w:r>
        <w:rPr/>
        <w:t>и</w:t>
      </w:r>
      <w:r>
        <w:rPr>
          <w:spacing w:val="50"/>
        </w:rPr>
        <w:t> </w:t>
      </w:r>
      <w:r>
        <w:rPr/>
        <w:t>саветовања</w:t>
      </w:r>
      <w:r>
        <w:rPr>
          <w:spacing w:val="53"/>
        </w:rPr>
        <w:t> </w:t>
      </w:r>
      <w:r>
        <w:rPr/>
        <w:t>у</w:t>
      </w:r>
      <w:r>
        <w:rPr>
          <w:spacing w:val="47"/>
        </w:rPr>
        <w:t> </w:t>
      </w:r>
      <w:r>
        <w:rPr/>
        <w:t>складу</w:t>
      </w:r>
      <w:r>
        <w:rPr>
          <w:spacing w:val="44"/>
        </w:rPr>
        <w:t> </w:t>
      </w:r>
      <w:r>
        <w:rPr/>
        <w:t>са</w:t>
      </w:r>
      <w:r>
        <w:rPr>
          <w:spacing w:val="51"/>
        </w:rPr>
        <w:t> </w:t>
      </w:r>
      <w:r>
        <w:rPr>
          <w:spacing w:val="-2"/>
        </w:rPr>
        <w:t>усвојеним</w:t>
      </w:r>
    </w:p>
    <w:p>
      <w:pPr>
        <w:pStyle w:val="BodyText"/>
        <w:ind w:left="0"/>
        <w:jc w:val="left"/>
        <w:rPr>
          <w:sz w:val="20"/>
        </w:rPr>
      </w:pPr>
    </w:p>
    <w:p>
      <w:pPr>
        <w:pStyle w:val="BodyText"/>
        <w:spacing w:before="14"/>
        <w:ind w:left="0"/>
        <w:jc w:val="left"/>
        <w:rPr>
          <w:sz w:val="20"/>
        </w:rPr>
      </w:pPr>
      <w:r>
        <w:rPr>
          <w:sz w:val="20"/>
        </w:rPr>
        <mc:AlternateContent>
          <mc:Choice Requires="wps">
            <w:drawing>
              <wp:anchor distT="0" distB="0" distL="0" distR="0" allowOverlap="1" layoutInCell="1" locked="0" behindDoc="1" simplePos="0" relativeHeight="487604224">
                <wp:simplePos x="0" y="0"/>
                <wp:positionH relativeFrom="page">
                  <wp:posOffset>914704</wp:posOffset>
                </wp:positionH>
                <wp:positionV relativeFrom="paragraph">
                  <wp:posOffset>170196</wp:posOffset>
                </wp:positionV>
                <wp:extent cx="1829435" cy="9525"/>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401338pt;width:144.020pt;height:.72003pt;mso-position-horizontal-relative:page;mso-position-vertical-relative:paragraph;z-index:-15712256;mso-wrap-distance-left:0;mso-wrap-distance-right:0" id="docshape34" filled="true" fillcolor="#000000" stroked="false">
                <v:fill type="solid"/>
                <w10:wrap type="topAndBottom"/>
              </v:rect>
            </w:pict>
          </mc:Fallback>
        </mc:AlternateContent>
      </w:r>
    </w:p>
    <w:p>
      <w:pPr>
        <w:spacing w:before="121"/>
        <w:ind w:left="360" w:right="0" w:firstLine="0"/>
        <w:jc w:val="left"/>
        <w:rPr>
          <w:sz w:val="18"/>
        </w:rPr>
      </w:pPr>
      <w:r>
        <w:rPr>
          <w:rFonts w:ascii="Calibri" w:hAnsi="Calibri"/>
          <w:sz w:val="18"/>
          <w:vertAlign w:val="superscript"/>
        </w:rPr>
        <w:t>43</w:t>
      </w:r>
      <w:r>
        <w:rPr>
          <w:rFonts w:ascii="Calibri" w:hAnsi="Calibri"/>
          <w:spacing w:val="1"/>
          <w:sz w:val="18"/>
          <w:vertAlign w:val="baseline"/>
        </w:rPr>
        <w:t> </w:t>
      </w:r>
      <w:r>
        <w:rPr>
          <w:sz w:val="18"/>
          <w:vertAlign w:val="baseline"/>
        </w:rPr>
        <w:t>Брза</w:t>
      </w:r>
      <w:r>
        <w:rPr>
          <w:spacing w:val="-3"/>
          <w:sz w:val="18"/>
          <w:vertAlign w:val="baseline"/>
        </w:rPr>
        <w:t> </w:t>
      </w:r>
      <w:r>
        <w:rPr>
          <w:sz w:val="18"/>
          <w:vertAlign w:val="baseline"/>
        </w:rPr>
        <w:t>процена</w:t>
      </w:r>
      <w:r>
        <w:rPr>
          <w:spacing w:val="-3"/>
          <w:sz w:val="18"/>
          <w:vertAlign w:val="baseline"/>
        </w:rPr>
        <w:t> </w:t>
      </w:r>
      <w:r>
        <w:rPr>
          <w:sz w:val="18"/>
          <w:vertAlign w:val="baseline"/>
        </w:rPr>
        <w:t>административних</w:t>
      </w:r>
      <w:r>
        <w:rPr>
          <w:spacing w:val="-4"/>
          <w:sz w:val="18"/>
          <w:vertAlign w:val="baseline"/>
        </w:rPr>
        <w:t> </w:t>
      </w:r>
      <w:r>
        <w:rPr>
          <w:sz w:val="18"/>
          <w:vertAlign w:val="baseline"/>
        </w:rPr>
        <w:t>капацитета</w:t>
      </w:r>
      <w:r>
        <w:rPr>
          <w:spacing w:val="-2"/>
          <w:sz w:val="18"/>
          <w:vertAlign w:val="baseline"/>
        </w:rPr>
        <w:t> </w:t>
      </w:r>
      <w:r>
        <w:rPr>
          <w:sz w:val="18"/>
          <w:vertAlign w:val="baseline"/>
        </w:rPr>
        <w:t>Националне</w:t>
      </w:r>
      <w:r>
        <w:rPr>
          <w:spacing w:val="-3"/>
          <w:sz w:val="18"/>
          <w:vertAlign w:val="baseline"/>
        </w:rPr>
        <w:t> </w:t>
      </w:r>
      <w:r>
        <w:rPr>
          <w:sz w:val="18"/>
          <w:vertAlign w:val="baseline"/>
        </w:rPr>
        <w:t>службе</w:t>
      </w:r>
      <w:r>
        <w:rPr>
          <w:spacing w:val="-3"/>
          <w:sz w:val="18"/>
          <w:vertAlign w:val="baseline"/>
        </w:rPr>
        <w:t> </w:t>
      </w:r>
      <w:r>
        <w:rPr>
          <w:sz w:val="18"/>
          <w:vertAlign w:val="baseline"/>
        </w:rPr>
        <w:t>за</w:t>
      </w:r>
      <w:r>
        <w:rPr>
          <w:spacing w:val="-3"/>
          <w:sz w:val="18"/>
          <w:vertAlign w:val="baseline"/>
        </w:rPr>
        <w:t> </w:t>
      </w:r>
      <w:r>
        <w:rPr>
          <w:sz w:val="18"/>
          <w:vertAlign w:val="baseline"/>
        </w:rPr>
        <w:t>запошљавање</w:t>
      </w:r>
      <w:r>
        <w:rPr>
          <w:spacing w:val="-1"/>
          <w:sz w:val="18"/>
          <w:vertAlign w:val="baseline"/>
        </w:rPr>
        <w:t> </w:t>
      </w:r>
      <w:r>
        <w:rPr>
          <w:sz w:val="18"/>
          <w:vertAlign w:val="baseline"/>
        </w:rPr>
        <w:t>(МОР,</w:t>
      </w:r>
      <w:r>
        <w:rPr>
          <w:spacing w:val="-2"/>
          <w:sz w:val="18"/>
          <w:vertAlign w:val="baseline"/>
        </w:rPr>
        <w:t> </w:t>
      </w:r>
      <w:r>
        <w:rPr>
          <w:sz w:val="18"/>
          <w:vertAlign w:val="baseline"/>
        </w:rPr>
        <w:t>децембар</w:t>
      </w:r>
      <w:r>
        <w:rPr>
          <w:spacing w:val="-1"/>
          <w:sz w:val="18"/>
          <w:vertAlign w:val="baseline"/>
        </w:rPr>
        <w:t> </w:t>
      </w:r>
      <w:r>
        <w:rPr>
          <w:spacing w:val="-2"/>
          <w:sz w:val="18"/>
          <w:vertAlign w:val="baseline"/>
        </w:rPr>
        <w:t>2020.)</w:t>
      </w:r>
    </w:p>
    <w:p>
      <w:pPr>
        <w:spacing w:after="0"/>
        <w:jc w:val="left"/>
        <w:rPr>
          <w:sz w:val="18"/>
        </w:rPr>
        <w:sectPr>
          <w:pgSz w:w="12240" w:h="15840"/>
          <w:pgMar w:header="0" w:footer="702" w:top="1340" w:bottom="900" w:left="1080" w:right="720"/>
        </w:sectPr>
      </w:pPr>
    </w:p>
    <w:p>
      <w:pPr>
        <w:pStyle w:val="BodyText"/>
        <w:spacing w:before="72"/>
        <w:ind w:right="724"/>
      </w:pPr>
      <w:r>
        <w:rPr/>
        <w:t>стандардима,</w:t>
      </w:r>
      <w:r>
        <w:rPr>
          <w:spacing w:val="-4"/>
        </w:rPr>
        <w:t> </w:t>
      </w:r>
      <w:r>
        <w:rPr/>
        <w:t>припрему</w:t>
      </w:r>
      <w:r>
        <w:rPr>
          <w:spacing w:val="-7"/>
        </w:rPr>
        <w:t> </w:t>
      </w:r>
      <w:r>
        <w:rPr/>
        <w:t>за</w:t>
      </w:r>
      <w:r>
        <w:rPr>
          <w:spacing w:val="-5"/>
        </w:rPr>
        <w:t> </w:t>
      </w:r>
      <w:r>
        <w:rPr/>
        <w:t>приступање</w:t>
      </w:r>
      <w:r>
        <w:rPr>
          <w:spacing w:val="-5"/>
        </w:rPr>
        <w:t> </w:t>
      </w:r>
      <w:r>
        <w:rPr/>
        <w:t>ЕУРЕС</w:t>
      </w:r>
      <w:r>
        <w:rPr>
          <w:spacing w:val="-4"/>
        </w:rPr>
        <w:t> </w:t>
      </w:r>
      <w:r>
        <w:rPr/>
        <w:t>мрежи</w:t>
      </w:r>
      <w:r>
        <w:rPr>
          <w:spacing w:val="-4"/>
        </w:rPr>
        <w:t> </w:t>
      </w:r>
      <w:r>
        <w:rPr/>
        <w:t>и</w:t>
      </w:r>
      <w:r>
        <w:rPr>
          <w:spacing w:val="-4"/>
        </w:rPr>
        <w:t> </w:t>
      </w:r>
      <w:r>
        <w:rPr/>
        <w:t>др.</w:t>
      </w:r>
      <w:r>
        <w:rPr>
          <w:spacing w:val="-4"/>
        </w:rPr>
        <w:t> </w:t>
      </w:r>
      <w:r>
        <w:rPr/>
        <w:t>детерминисаће</w:t>
      </w:r>
      <w:r>
        <w:rPr>
          <w:spacing w:val="-3"/>
        </w:rPr>
        <w:t> </w:t>
      </w:r>
      <w:r>
        <w:rPr/>
        <w:t>активности</w:t>
      </w:r>
      <w:r>
        <w:rPr>
          <w:spacing w:val="-3"/>
        </w:rPr>
        <w:t> </w:t>
      </w:r>
      <w:r>
        <w:rPr/>
        <w:t>које ће се реализовати у наредном периоду.</w:t>
      </w:r>
    </w:p>
    <w:p>
      <w:pPr>
        <w:pStyle w:val="BodyText"/>
        <w:spacing w:before="120"/>
        <w:ind w:right="716" w:firstLine="719"/>
      </w:pPr>
      <w:r>
        <w:rPr/>
        <w:t>У</w:t>
      </w:r>
      <w:r>
        <w:rPr>
          <w:spacing w:val="-15"/>
        </w:rPr>
        <w:t> </w:t>
      </w:r>
      <w:r>
        <w:rPr/>
        <w:t>претходних</w:t>
      </w:r>
      <w:r>
        <w:rPr>
          <w:spacing w:val="-11"/>
        </w:rPr>
        <w:t> </w:t>
      </w:r>
      <w:r>
        <w:rPr/>
        <w:t>неколико</w:t>
      </w:r>
      <w:r>
        <w:rPr>
          <w:spacing w:val="-14"/>
        </w:rPr>
        <w:t> </w:t>
      </w:r>
      <w:r>
        <w:rPr/>
        <w:t>година,</w:t>
      </w:r>
      <w:r>
        <w:rPr>
          <w:spacing w:val="-12"/>
        </w:rPr>
        <w:t> </w:t>
      </w:r>
      <w:r>
        <w:rPr/>
        <w:t>важан</w:t>
      </w:r>
      <w:r>
        <w:rPr>
          <w:spacing w:val="-11"/>
        </w:rPr>
        <w:t> </w:t>
      </w:r>
      <w:r>
        <w:rPr/>
        <w:t>актер</w:t>
      </w:r>
      <w:r>
        <w:rPr>
          <w:spacing w:val="-12"/>
        </w:rPr>
        <w:t> </w:t>
      </w:r>
      <w:r>
        <w:rPr/>
        <w:t>на</w:t>
      </w:r>
      <w:r>
        <w:rPr>
          <w:spacing w:val="-13"/>
        </w:rPr>
        <w:t> </w:t>
      </w:r>
      <w:r>
        <w:rPr/>
        <w:t>тржишту</w:t>
      </w:r>
      <w:r>
        <w:rPr>
          <w:spacing w:val="-15"/>
        </w:rPr>
        <w:t> </w:t>
      </w:r>
      <w:r>
        <w:rPr/>
        <w:t>рада</w:t>
      </w:r>
      <w:r>
        <w:rPr>
          <w:spacing w:val="-13"/>
        </w:rPr>
        <w:t> </w:t>
      </w:r>
      <w:r>
        <w:rPr/>
        <w:t>(посебно</w:t>
      </w:r>
      <w:r>
        <w:rPr>
          <w:spacing w:val="-10"/>
        </w:rPr>
        <w:t> </w:t>
      </w:r>
      <w:r>
        <w:rPr/>
        <w:t>у</w:t>
      </w:r>
      <w:r>
        <w:rPr>
          <w:spacing w:val="-14"/>
        </w:rPr>
        <w:t> </w:t>
      </w:r>
      <w:r>
        <w:rPr/>
        <w:t>домену</w:t>
      </w:r>
      <w:r>
        <w:rPr>
          <w:spacing w:val="-15"/>
        </w:rPr>
        <w:t> </w:t>
      </w:r>
      <w:r>
        <w:rPr/>
        <w:t>тзв. outreach (досезања до неактивних лица која се не обраћају институцијама за помоћ у запошљавању), КВиС и рада са младима из категорија вишеструко рањивих, али и индивидуализованог приступа у раду са послодавцима у циљу њихове активације за укључивањем незапослених у програме обука и пракси), представљају организације цивилног друштва, које континуирано унапређују своје капацитете и шире експертизу и услуге уз подршку билатералних и мултилатералних донатора. У процесу измена законодавног оквира у области запошљавања сагледаће се начин и и домет увођења организација цивилног друштва у статус носилаца послова запошљавања.</w:t>
      </w:r>
    </w:p>
    <w:p>
      <w:pPr>
        <w:pStyle w:val="BodyText"/>
        <w:spacing w:before="177"/>
        <w:ind w:left="0"/>
        <w:jc w:val="left"/>
        <w:rPr>
          <w:sz w:val="20"/>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7271"/>
      </w:tblGrid>
      <w:tr>
        <w:trPr>
          <w:trHeight w:val="556" w:hRule="atLeast"/>
        </w:trPr>
        <w:tc>
          <w:tcPr>
            <w:tcW w:w="1956" w:type="dxa"/>
          </w:tcPr>
          <w:p>
            <w:pPr>
              <w:pStyle w:val="TableParagraph"/>
              <w:spacing w:before="81"/>
              <w:ind w:left="50"/>
              <w:rPr>
                <w:i/>
                <w:sz w:val="24"/>
              </w:rPr>
            </w:pPr>
            <w:r>
              <w:rPr>
                <w:i/>
                <w:sz w:val="24"/>
              </w:rPr>
              <w:t>Врста/тип</w:t>
            </w:r>
            <w:r>
              <w:rPr>
                <w:i/>
                <w:spacing w:val="-2"/>
                <w:sz w:val="24"/>
              </w:rPr>
              <w:t> </w:t>
            </w:r>
            <w:r>
              <w:rPr>
                <w:i/>
                <w:spacing w:val="-4"/>
                <w:sz w:val="24"/>
              </w:rPr>
              <w:t>мере</w:t>
            </w:r>
          </w:p>
        </w:tc>
        <w:tc>
          <w:tcPr>
            <w:tcW w:w="7271" w:type="dxa"/>
          </w:tcPr>
          <w:p>
            <w:pPr>
              <w:pStyle w:val="TableParagraph"/>
              <w:tabs>
                <w:tab w:pos="2074" w:val="left" w:leader="none"/>
                <w:tab w:pos="3794" w:val="left" w:leader="none"/>
                <w:tab w:pos="6002" w:val="left" w:leader="none"/>
              </w:tabs>
              <w:spacing w:line="266" w:lineRule="exact"/>
              <w:ind w:left="215"/>
              <w:rPr>
                <w:sz w:val="24"/>
              </w:rPr>
            </w:pPr>
            <w:r>
              <w:rPr>
                <w:spacing w:val="-2"/>
                <w:sz w:val="24"/>
              </w:rPr>
              <w:t>Комбинована:</w:t>
            </w:r>
            <w:r>
              <w:rPr>
                <w:sz w:val="24"/>
              </w:rPr>
              <w:tab/>
            </w:r>
            <w:r>
              <w:rPr>
                <w:spacing w:val="-2"/>
                <w:sz w:val="24"/>
              </w:rPr>
              <w:t>регулаторна;</w:t>
            </w:r>
            <w:r>
              <w:rPr>
                <w:sz w:val="24"/>
              </w:rPr>
              <w:tab/>
            </w:r>
            <w:r>
              <w:rPr>
                <w:spacing w:val="-2"/>
                <w:sz w:val="24"/>
              </w:rPr>
              <w:t>институционално</w:t>
            </w:r>
            <w:r>
              <w:rPr>
                <w:sz w:val="24"/>
              </w:rPr>
              <w:tab/>
            </w:r>
            <w:r>
              <w:rPr>
                <w:spacing w:val="-2"/>
                <w:sz w:val="24"/>
              </w:rPr>
              <w:t>управљачко</w:t>
            </w:r>
          </w:p>
          <w:p>
            <w:pPr>
              <w:pStyle w:val="TableParagraph"/>
              <w:spacing w:line="256" w:lineRule="exact" w:before="14"/>
              <w:ind w:left="215"/>
              <w:rPr>
                <w:sz w:val="24"/>
              </w:rPr>
            </w:pPr>
            <w:r>
              <w:rPr>
                <w:spacing w:val="-2"/>
                <w:sz w:val="24"/>
              </w:rPr>
              <w:t>организациона</w:t>
            </w:r>
          </w:p>
        </w:tc>
      </w:tr>
    </w:tbl>
    <w:p>
      <w:pPr>
        <w:pStyle w:val="BodyText"/>
        <w:spacing w:before="137"/>
        <w:ind w:left="0"/>
        <w:jc w:val="left"/>
      </w:pPr>
    </w:p>
    <w:p>
      <w:pPr>
        <w:pStyle w:val="Heading1"/>
        <w:numPr>
          <w:ilvl w:val="0"/>
          <w:numId w:val="1"/>
        </w:numPr>
        <w:tabs>
          <w:tab w:pos="900" w:val="left" w:leader="none"/>
          <w:tab w:pos="1127" w:val="left" w:leader="none"/>
        </w:tabs>
        <w:spacing w:line="240" w:lineRule="auto" w:before="0" w:after="0"/>
        <w:ind w:left="900" w:right="898" w:hanging="132"/>
        <w:jc w:val="left"/>
      </w:pPr>
      <w:r>
        <w:rPr/>
        <w:t>МЕХАНИЗАМ ЗА СПРОВОЂЕЊЕ И ПРАЋЕЊЕ СПРОВОЂЕЊА, КАО И НАЧИН</w:t>
      </w:r>
      <w:r>
        <w:rPr>
          <w:spacing w:val="-9"/>
        </w:rPr>
        <w:t> </w:t>
      </w:r>
      <w:r>
        <w:rPr/>
        <w:t>ИЗВЕШТАВАЊА</w:t>
      </w:r>
      <w:r>
        <w:rPr>
          <w:spacing w:val="-10"/>
        </w:rPr>
        <w:t> </w:t>
      </w:r>
      <w:r>
        <w:rPr/>
        <w:t>О</w:t>
      </w:r>
      <w:r>
        <w:rPr>
          <w:spacing w:val="-7"/>
        </w:rPr>
        <w:t> </w:t>
      </w:r>
      <w:r>
        <w:rPr/>
        <w:t>РЕЗУЛТАТИМА</w:t>
      </w:r>
      <w:r>
        <w:rPr>
          <w:spacing w:val="-7"/>
        </w:rPr>
        <w:t> </w:t>
      </w:r>
      <w:r>
        <w:rPr/>
        <w:t>СПРОВОЂЕЊА</w:t>
      </w:r>
      <w:r>
        <w:rPr>
          <w:spacing w:val="-10"/>
        </w:rPr>
        <w:t> </w:t>
      </w:r>
      <w:r>
        <w:rPr/>
        <w:t>СТРАТЕГИЈЕ</w:t>
      </w:r>
    </w:p>
    <w:p>
      <w:pPr>
        <w:pStyle w:val="BodyText"/>
        <w:spacing w:before="249"/>
        <w:ind w:right="714" w:firstLine="719"/>
      </w:pPr>
      <w:r>
        <w:rPr/>
        <w:t>Надлежни орган за координацију спровођења Стратегије је Министарство за рад, запошљавање, борачка и социјална питања. У складу са чланом 18. Закона о планском систему,</w:t>
      </w:r>
      <w:r>
        <w:rPr>
          <w:spacing w:val="-15"/>
        </w:rPr>
        <w:t> </w:t>
      </w:r>
      <w:r>
        <w:rPr/>
        <w:t>у</w:t>
      </w:r>
      <w:r>
        <w:rPr>
          <w:spacing w:val="-15"/>
        </w:rPr>
        <w:t> </w:t>
      </w:r>
      <w:r>
        <w:rPr/>
        <w:t>року</w:t>
      </w:r>
      <w:r>
        <w:rPr>
          <w:spacing w:val="-15"/>
        </w:rPr>
        <w:t> </w:t>
      </w:r>
      <w:r>
        <w:rPr/>
        <w:t>од</w:t>
      </w:r>
      <w:r>
        <w:rPr>
          <w:spacing w:val="-15"/>
        </w:rPr>
        <w:t> </w:t>
      </w:r>
      <w:r>
        <w:rPr/>
        <w:t>90</w:t>
      </w:r>
      <w:r>
        <w:rPr>
          <w:spacing w:val="-15"/>
        </w:rPr>
        <w:t> </w:t>
      </w:r>
      <w:r>
        <w:rPr/>
        <w:t>дана</w:t>
      </w:r>
      <w:r>
        <w:rPr>
          <w:spacing w:val="-15"/>
        </w:rPr>
        <w:t> </w:t>
      </w:r>
      <w:r>
        <w:rPr/>
        <w:t>од</w:t>
      </w:r>
      <w:r>
        <w:rPr>
          <w:spacing w:val="-15"/>
        </w:rPr>
        <w:t> </w:t>
      </w:r>
      <w:r>
        <w:rPr/>
        <w:t>доношења</w:t>
      </w:r>
      <w:r>
        <w:rPr>
          <w:spacing w:val="-15"/>
        </w:rPr>
        <w:t> </w:t>
      </w:r>
      <w:r>
        <w:rPr/>
        <w:t>Стратегије,</w:t>
      </w:r>
      <w:r>
        <w:rPr>
          <w:spacing w:val="-15"/>
        </w:rPr>
        <w:t> </w:t>
      </w:r>
      <w:r>
        <w:rPr/>
        <w:t>предвиђено</w:t>
      </w:r>
      <w:r>
        <w:rPr>
          <w:spacing w:val="-15"/>
        </w:rPr>
        <w:t> </w:t>
      </w:r>
      <w:r>
        <w:rPr/>
        <w:t>је</w:t>
      </w:r>
      <w:r>
        <w:rPr>
          <w:spacing w:val="-15"/>
        </w:rPr>
        <w:t> </w:t>
      </w:r>
      <w:r>
        <w:rPr/>
        <w:t>усвајање</w:t>
      </w:r>
      <w:r>
        <w:rPr>
          <w:spacing w:val="-15"/>
        </w:rPr>
        <w:t> </w:t>
      </w:r>
      <w:r>
        <w:rPr/>
        <w:t>првог</w:t>
      </w:r>
      <w:r>
        <w:rPr>
          <w:spacing w:val="-15"/>
        </w:rPr>
        <w:t> </w:t>
      </w:r>
      <w:r>
        <w:rPr/>
        <w:t>Aкционог плана на три године.</w:t>
      </w:r>
    </w:p>
    <w:p>
      <w:pPr>
        <w:pStyle w:val="BodyText"/>
        <w:spacing w:before="121"/>
        <w:ind w:right="716" w:firstLine="719"/>
      </w:pPr>
      <w:r>
        <w:rPr/>
        <w:t>Акционим планом биће дефинисане и активности које ће се предузети ради обезбеђења</w:t>
      </w:r>
      <w:r>
        <w:rPr>
          <w:spacing w:val="-6"/>
        </w:rPr>
        <w:t> </w:t>
      </w:r>
      <w:r>
        <w:rPr/>
        <w:t>услова</w:t>
      </w:r>
      <w:r>
        <w:rPr>
          <w:spacing w:val="-12"/>
        </w:rPr>
        <w:t> </w:t>
      </w:r>
      <w:r>
        <w:rPr/>
        <w:t>да</w:t>
      </w:r>
      <w:r>
        <w:rPr>
          <w:spacing w:val="-10"/>
        </w:rPr>
        <w:t> </w:t>
      </w:r>
      <w:r>
        <w:rPr/>
        <w:t>се</w:t>
      </w:r>
      <w:r>
        <w:rPr>
          <w:spacing w:val="-12"/>
        </w:rPr>
        <w:t> </w:t>
      </w:r>
      <w:r>
        <w:rPr/>
        <w:t>циљеви</w:t>
      </w:r>
      <w:r>
        <w:rPr>
          <w:spacing w:val="-9"/>
        </w:rPr>
        <w:t> </w:t>
      </w:r>
      <w:r>
        <w:rPr/>
        <w:t>и</w:t>
      </w:r>
      <w:r>
        <w:rPr>
          <w:spacing w:val="-10"/>
        </w:rPr>
        <w:t> </w:t>
      </w:r>
      <w:r>
        <w:rPr/>
        <w:t>мере</w:t>
      </w:r>
      <w:r>
        <w:rPr>
          <w:spacing w:val="-11"/>
        </w:rPr>
        <w:t> </w:t>
      </w:r>
      <w:r>
        <w:rPr/>
        <w:t>Стратегије</w:t>
      </w:r>
      <w:r>
        <w:rPr>
          <w:spacing w:val="-11"/>
        </w:rPr>
        <w:t> </w:t>
      </w:r>
      <w:r>
        <w:rPr/>
        <w:t>реализују,</w:t>
      </w:r>
      <w:r>
        <w:rPr>
          <w:spacing w:val="-10"/>
        </w:rPr>
        <w:t> </w:t>
      </w:r>
      <w:r>
        <w:rPr/>
        <w:t>одређени</w:t>
      </w:r>
      <w:r>
        <w:rPr>
          <w:spacing w:val="-10"/>
        </w:rPr>
        <w:t> </w:t>
      </w:r>
      <w:r>
        <w:rPr/>
        <w:t>носиоци</w:t>
      </w:r>
      <w:r>
        <w:rPr>
          <w:spacing w:val="-10"/>
        </w:rPr>
        <w:t> </w:t>
      </w:r>
      <w:r>
        <w:rPr/>
        <w:t>и</w:t>
      </w:r>
      <w:r>
        <w:rPr>
          <w:spacing w:val="-10"/>
        </w:rPr>
        <w:t> </w:t>
      </w:r>
      <w:r>
        <w:rPr/>
        <w:t>партнери за</w:t>
      </w:r>
      <w:r>
        <w:rPr>
          <w:spacing w:val="-11"/>
        </w:rPr>
        <w:t> </w:t>
      </w:r>
      <w:r>
        <w:rPr/>
        <w:t>спровођење</w:t>
      </w:r>
      <w:r>
        <w:rPr>
          <w:spacing w:val="-10"/>
        </w:rPr>
        <w:t> </w:t>
      </w:r>
      <w:r>
        <w:rPr/>
        <w:t>мера</w:t>
      </w:r>
      <w:r>
        <w:rPr>
          <w:spacing w:val="-11"/>
        </w:rPr>
        <w:t> </w:t>
      </w:r>
      <w:r>
        <w:rPr/>
        <w:t>и</w:t>
      </w:r>
      <w:r>
        <w:rPr>
          <w:spacing w:val="-9"/>
        </w:rPr>
        <w:t> </w:t>
      </w:r>
      <w:r>
        <w:rPr/>
        <w:t>активности,</w:t>
      </w:r>
      <w:r>
        <w:rPr>
          <w:spacing w:val="-10"/>
        </w:rPr>
        <w:t> </w:t>
      </w:r>
      <w:r>
        <w:rPr/>
        <w:t>дефинисани</w:t>
      </w:r>
      <w:r>
        <w:rPr>
          <w:spacing w:val="-11"/>
        </w:rPr>
        <w:t> </w:t>
      </w:r>
      <w:r>
        <w:rPr/>
        <w:t>њихови</w:t>
      </w:r>
      <w:r>
        <w:rPr>
          <w:spacing w:val="-9"/>
        </w:rPr>
        <w:t> </w:t>
      </w:r>
      <w:r>
        <w:rPr/>
        <w:t>показатељи,</w:t>
      </w:r>
      <w:r>
        <w:rPr>
          <w:spacing w:val="-10"/>
        </w:rPr>
        <w:t> </w:t>
      </w:r>
      <w:r>
        <w:rPr/>
        <w:t>као</w:t>
      </w:r>
      <w:r>
        <w:rPr>
          <w:spacing w:val="-10"/>
        </w:rPr>
        <w:t> </w:t>
      </w:r>
      <w:r>
        <w:rPr/>
        <w:t>и</w:t>
      </w:r>
      <w:r>
        <w:rPr>
          <w:spacing w:val="-9"/>
        </w:rPr>
        <w:t> </w:t>
      </w:r>
      <w:r>
        <w:rPr/>
        <w:t>рокови</w:t>
      </w:r>
      <w:r>
        <w:rPr>
          <w:spacing w:val="-9"/>
        </w:rPr>
        <w:t> </w:t>
      </w:r>
      <w:r>
        <w:rPr/>
        <w:t>и</w:t>
      </w:r>
      <w:r>
        <w:rPr>
          <w:spacing w:val="-9"/>
        </w:rPr>
        <w:t> </w:t>
      </w:r>
      <w:r>
        <w:rPr/>
        <w:t>средства за њихово спровођење.</w:t>
      </w:r>
    </w:p>
    <w:p>
      <w:pPr>
        <w:pStyle w:val="BodyText"/>
        <w:spacing w:before="120"/>
        <w:ind w:right="722" w:firstLine="719"/>
      </w:pPr>
      <w:r>
        <w:rPr/>
        <w:t>Сви органи, односно институције које су препознате као партнери у спровођењу имају обавезу да писмено извештавају Министарство за рад, запошљавање, борачка и социјална питања на годишњем нивоу о спровођењу мера и активности.</w:t>
      </w:r>
    </w:p>
    <w:p>
      <w:pPr>
        <w:pStyle w:val="BodyText"/>
        <w:spacing w:before="120"/>
        <w:ind w:right="719" w:firstLine="719"/>
      </w:pPr>
      <w:r>
        <w:rPr/>
        <w:t>Мере АПЗ и друге активности које спроводи НСЗ прате се на основу Споразума о учинку НСЗ који се, у складу са Законом о запошљавању и осигурању за случај незапослености, закључује између министарства надлежног за послове запошљавања и НСЗ. Овим споразумом се, на годишњем нивоу, ближе уређују задаци, обавезе, циљеви и резултати,</w:t>
      </w:r>
      <w:r>
        <w:rPr>
          <w:spacing w:val="-9"/>
        </w:rPr>
        <w:t> </w:t>
      </w:r>
      <w:r>
        <w:rPr/>
        <w:t>рокови</w:t>
      </w:r>
      <w:r>
        <w:rPr>
          <w:spacing w:val="-9"/>
        </w:rPr>
        <w:t> </w:t>
      </w:r>
      <w:r>
        <w:rPr/>
        <w:t>за</w:t>
      </w:r>
      <w:r>
        <w:rPr>
          <w:spacing w:val="-10"/>
        </w:rPr>
        <w:t> </w:t>
      </w:r>
      <w:r>
        <w:rPr/>
        <w:t>спровођење</w:t>
      </w:r>
      <w:r>
        <w:rPr>
          <w:spacing w:val="-10"/>
        </w:rPr>
        <w:t> </w:t>
      </w:r>
      <w:r>
        <w:rPr/>
        <w:t>појединих</w:t>
      </w:r>
      <w:r>
        <w:rPr>
          <w:spacing w:val="-7"/>
        </w:rPr>
        <w:t> </w:t>
      </w:r>
      <w:r>
        <w:rPr/>
        <w:t>програма</w:t>
      </w:r>
      <w:r>
        <w:rPr>
          <w:spacing w:val="-10"/>
        </w:rPr>
        <w:t> </w:t>
      </w:r>
      <w:r>
        <w:rPr/>
        <w:t>и</w:t>
      </w:r>
      <w:r>
        <w:rPr>
          <w:spacing w:val="-3"/>
        </w:rPr>
        <w:t> </w:t>
      </w:r>
      <w:r>
        <w:rPr/>
        <w:t>мера,</w:t>
      </w:r>
      <w:r>
        <w:rPr>
          <w:spacing w:val="-7"/>
        </w:rPr>
        <w:t> </w:t>
      </w:r>
      <w:r>
        <w:rPr/>
        <w:t>одговорности,</w:t>
      </w:r>
      <w:r>
        <w:rPr>
          <w:spacing w:val="-9"/>
        </w:rPr>
        <w:t> </w:t>
      </w:r>
      <w:r>
        <w:rPr/>
        <w:t>извештавање</w:t>
      </w:r>
      <w:r>
        <w:rPr>
          <w:spacing w:val="-10"/>
        </w:rPr>
        <w:t> </w:t>
      </w:r>
      <w:r>
        <w:rPr/>
        <w:t>и </w:t>
      </w:r>
      <w:r>
        <w:rPr>
          <w:spacing w:val="-4"/>
        </w:rPr>
        <w:t>др.</w:t>
      </w:r>
    </w:p>
    <w:p>
      <w:pPr>
        <w:pStyle w:val="BodyText"/>
        <w:spacing w:before="121"/>
        <w:ind w:right="721" w:firstLine="719"/>
      </w:pPr>
      <w:r>
        <w:rPr/>
        <w:t>Министарство за рад, запошљавање, борачка и социјална питања образоваће Радну групу за праћење спровођења Стратегије и Акционог плана.</w:t>
      </w:r>
    </w:p>
    <w:p>
      <w:pPr>
        <w:pStyle w:val="BodyText"/>
        <w:spacing w:before="120"/>
        <w:ind w:right="719" w:firstLine="719"/>
      </w:pPr>
      <w:r>
        <w:rPr/>
        <w:t>Извештај</w:t>
      </w:r>
      <w:r>
        <w:rPr>
          <w:spacing w:val="-15"/>
        </w:rPr>
        <w:t> </w:t>
      </w:r>
      <w:r>
        <w:rPr/>
        <w:t>о</w:t>
      </w:r>
      <w:r>
        <w:rPr>
          <w:spacing w:val="-15"/>
        </w:rPr>
        <w:t> </w:t>
      </w:r>
      <w:r>
        <w:rPr/>
        <w:t>резултатима</w:t>
      </w:r>
      <w:r>
        <w:rPr>
          <w:spacing w:val="-15"/>
        </w:rPr>
        <w:t> </w:t>
      </w:r>
      <w:r>
        <w:rPr/>
        <w:t>у</w:t>
      </w:r>
      <w:r>
        <w:rPr>
          <w:spacing w:val="-15"/>
        </w:rPr>
        <w:t> </w:t>
      </w:r>
      <w:r>
        <w:rPr/>
        <w:t>достизању</w:t>
      </w:r>
      <w:r>
        <w:rPr>
          <w:spacing w:val="-15"/>
        </w:rPr>
        <w:t> </w:t>
      </w:r>
      <w:r>
        <w:rPr/>
        <w:t>утврђених</w:t>
      </w:r>
      <w:r>
        <w:rPr>
          <w:spacing w:val="-15"/>
        </w:rPr>
        <w:t> </w:t>
      </w:r>
      <w:r>
        <w:rPr/>
        <w:t>циљева</w:t>
      </w:r>
      <w:r>
        <w:rPr>
          <w:spacing w:val="-15"/>
        </w:rPr>
        <w:t> </w:t>
      </w:r>
      <w:r>
        <w:rPr/>
        <w:t>Стратегије</w:t>
      </w:r>
      <w:r>
        <w:rPr>
          <w:spacing w:val="-15"/>
        </w:rPr>
        <w:t> </w:t>
      </w:r>
      <w:r>
        <w:rPr/>
        <w:t>биће</w:t>
      </w:r>
      <w:r>
        <w:rPr>
          <w:spacing w:val="-15"/>
        </w:rPr>
        <w:t> </w:t>
      </w:r>
      <w:r>
        <w:rPr/>
        <w:t>припремљен </w:t>
      </w:r>
      <w:r>
        <w:rPr>
          <w:spacing w:val="-2"/>
        </w:rPr>
        <w:t>на</w:t>
      </w:r>
      <w:r>
        <w:rPr>
          <w:spacing w:val="-7"/>
        </w:rPr>
        <w:t> </w:t>
      </w:r>
      <w:r>
        <w:rPr>
          <w:spacing w:val="-2"/>
        </w:rPr>
        <w:t>основу</w:t>
      </w:r>
      <w:r>
        <w:rPr>
          <w:spacing w:val="-12"/>
        </w:rPr>
        <w:t> </w:t>
      </w:r>
      <w:r>
        <w:rPr>
          <w:spacing w:val="-2"/>
        </w:rPr>
        <w:t>еx-post</w:t>
      </w:r>
      <w:r>
        <w:rPr>
          <w:spacing w:val="-5"/>
        </w:rPr>
        <w:t> </w:t>
      </w:r>
      <w:r>
        <w:rPr>
          <w:spacing w:val="-2"/>
        </w:rPr>
        <w:t>анализа</w:t>
      </w:r>
      <w:r>
        <w:rPr>
          <w:spacing w:val="-7"/>
        </w:rPr>
        <w:t> </w:t>
      </w:r>
      <w:r>
        <w:rPr>
          <w:spacing w:val="-2"/>
        </w:rPr>
        <w:t>ефеката,</w:t>
      </w:r>
      <w:r>
        <w:rPr>
          <w:spacing w:val="-6"/>
        </w:rPr>
        <w:t> </w:t>
      </w:r>
      <w:r>
        <w:rPr>
          <w:spacing w:val="-2"/>
        </w:rPr>
        <w:t>а</w:t>
      </w:r>
      <w:r>
        <w:rPr>
          <w:spacing w:val="-7"/>
        </w:rPr>
        <w:t> </w:t>
      </w:r>
      <w:r>
        <w:rPr>
          <w:spacing w:val="-2"/>
        </w:rPr>
        <w:t>финални</w:t>
      </w:r>
      <w:r>
        <w:rPr>
          <w:spacing w:val="-7"/>
        </w:rPr>
        <w:t> </w:t>
      </w:r>
      <w:r>
        <w:rPr>
          <w:spacing w:val="-2"/>
        </w:rPr>
        <w:t>извештај</w:t>
      </w:r>
      <w:r>
        <w:rPr>
          <w:spacing w:val="-6"/>
        </w:rPr>
        <w:t> </w:t>
      </w:r>
      <w:r>
        <w:rPr>
          <w:spacing w:val="-2"/>
        </w:rPr>
        <w:t>биће</w:t>
      </w:r>
      <w:r>
        <w:rPr>
          <w:spacing w:val="-7"/>
        </w:rPr>
        <w:t> </w:t>
      </w:r>
      <w:r>
        <w:rPr>
          <w:spacing w:val="-2"/>
        </w:rPr>
        <w:t>поднет</w:t>
      </w:r>
      <w:r>
        <w:rPr>
          <w:spacing w:val="-5"/>
        </w:rPr>
        <w:t> </w:t>
      </w:r>
      <w:r>
        <w:rPr>
          <w:spacing w:val="-2"/>
        </w:rPr>
        <w:t>Влади</w:t>
      </w:r>
      <w:r>
        <w:rPr>
          <w:spacing w:val="-5"/>
        </w:rPr>
        <w:t> </w:t>
      </w:r>
      <w:r>
        <w:rPr>
          <w:spacing w:val="-2"/>
        </w:rPr>
        <w:t>на</w:t>
      </w:r>
      <w:r>
        <w:rPr>
          <w:spacing w:val="-4"/>
        </w:rPr>
        <w:t> </w:t>
      </w:r>
      <w:r>
        <w:rPr>
          <w:spacing w:val="-2"/>
        </w:rPr>
        <w:t>усвајање</w:t>
      </w:r>
      <w:r>
        <w:rPr>
          <w:spacing w:val="-7"/>
        </w:rPr>
        <w:t> </w:t>
      </w:r>
      <w:r>
        <w:rPr>
          <w:spacing w:val="-2"/>
        </w:rPr>
        <w:t>након </w:t>
      </w:r>
      <w:r>
        <w:rPr/>
        <w:t>истека важења Стратегије.</w:t>
      </w:r>
    </w:p>
    <w:p>
      <w:pPr>
        <w:pStyle w:val="BodyText"/>
        <w:spacing w:before="120"/>
        <w:ind w:right="720" w:firstLine="719"/>
      </w:pPr>
      <w:r>
        <w:rPr/>
        <w:t>Израда извештаја и достављање Влади вршиће се у складу са роковима утврђеним Законом о планском систему.</w:t>
      </w:r>
    </w:p>
    <w:p>
      <w:pPr>
        <w:pStyle w:val="BodyText"/>
        <w:spacing w:after="0"/>
        <w:sectPr>
          <w:pgSz w:w="12240" w:h="15840"/>
          <w:pgMar w:header="0" w:footer="702" w:top="1360" w:bottom="900" w:left="1080" w:right="720"/>
        </w:sectPr>
      </w:pPr>
    </w:p>
    <w:p>
      <w:pPr>
        <w:pStyle w:val="Heading1"/>
        <w:numPr>
          <w:ilvl w:val="0"/>
          <w:numId w:val="1"/>
        </w:numPr>
        <w:tabs>
          <w:tab w:pos="830" w:val="left" w:leader="none"/>
          <w:tab w:pos="1944" w:val="left" w:leader="none"/>
        </w:tabs>
        <w:spacing w:line="240" w:lineRule="auto" w:before="77" w:after="0"/>
        <w:ind w:left="1944" w:right="829" w:hanging="1474"/>
        <w:jc w:val="left"/>
      </w:pPr>
      <w:r>
        <w:rPr/>
        <w:t>ПРОЦЕНА</w:t>
      </w:r>
      <w:r>
        <w:rPr>
          <w:spacing w:val="-8"/>
        </w:rPr>
        <w:t> </w:t>
      </w:r>
      <w:r>
        <w:rPr/>
        <w:t>ФИНАНСИЈСКИХ</w:t>
      </w:r>
      <w:r>
        <w:rPr>
          <w:spacing w:val="-8"/>
        </w:rPr>
        <w:t> </w:t>
      </w:r>
      <w:r>
        <w:rPr/>
        <w:t>СРЕДСТАВА</w:t>
      </w:r>
      <w:r>
        <w:rPr>
          <w:spacing w:val="-8"/>
        </w:rPr>
        <w:t> </w:t>
      </w:r>
      <w:r>
        <w:rPr/>
        <w:t>ПОТРЕБНИХ</w:t>
      </w:r>
      <w:r>
        <w:rPr>
          <w:spacing w:val="-8"/>
        </w:rPr>
        <w:t> </w:t>
      </w:r>
      <w:r>
        <w:rPr/>
        <w:t>ЗА</w:t>
      </w:r>
      <w:r>
        <w:rPr>
          <w:spacing w:val="-8"/>
        </w:rPr>
        <w:t> </w:t>
      </w:r>
      <w:r>
        <w:rPr/>
        <w:t>СПРОВОЂЕЊЕ СТРАТЕГИЈЕ И АНАЛИЗА ФИНАНСИЈСКИХ ЕФЕКАТА</w:t>
      </w:r>
    </w:p>
    <w:p>
      <w:pPr>
        <w:pStyle w:val="BodyText"/>
        <w:spacing w:before="115"/>
        <w:ind w:left="0"/>
        <w:jc w:val="left"/>
        <w:rPr>
          <w:b/>
        </w:rPr>
      </w:pPr>
    </w:p>
    <w:p>
      <w:pPr>
        <w:pStyle w:val="BodyText"/>
        <w:ind w:right="716" w:firstLine="719"/>
      </w:pPr>
      <w:r>
        <w:rPr/>
        <w:t>Финансијски ефекти за спровођење Стратегије биће детаљно дати у Акционом плану,</w:t>
      </w:r>
      <w:r>
        <w:rPr>
          <w:spacing w:val="-6"/>
        </w:rPr>
        <w:t> </w:t>
      </w:r>
      <w:r>
        <w:rPr/>
        <w:t>а</w:t>
      </w:r>
      <w:r>
        <w:rPr>
          <w:spacing w:val="-9"/>
        </w:rPr>
        <w:t> </w:t>
      </w:r>
      <w:r>
        <w:rPr/>
        <w:t>који</w:t>
      </w:r>
      <w:r>
        <w:rPr>
          <w:spacing w:val="-7"/>
        </w:rPr>
        <w:t> </w:t>
      </w:r>
      <w:r>
        <w:rPr/>
        <w:t>ће</w:t>
      </w:r>
      <w:r>
        <w:rPr>
          <w:spacing w:val="-9"/>
        </w:rPr>
        <w:t> </w:t>
      </w:r>
      <w:r>
        <w:rPr/>
        <w:t>бити</w:t>
      </w:r>
      <w:r>
        <w:rPr>
          <w:spacing w:val="-6"/>
        </w:rPr>
        <w:t> </w:t>
      </w:r>
      <w:r>
        <w:rPr/>
        <w:t>усклађен</w:t>
      </w:r>
      <w:r>
        <w:rPr>
          <w:spacing w:val="-7"/>
        </w:rPr>
        <w:t> </w:t>
      </w:r>
      <w:r>
        <w:rPr/>
        <w:t>са</w:t>
      </w:r>
      <w:r>
        <w:rPr>
          <w:spacing w:val="-9"/>
        </w:rPr>
        <w:t> </w:t>
      </w:r>
      <w:r>
        <w:rPr/>
        <w:t>средњорочним</w:t>
      </w:r>
      <w:r>
        <w:rPr>
          <w:spacing w:val="-9"/>
        </w:rPr>
        <w:t> </w:t>
      </w:r>
      <w:r>
        <w:rPr/>
        <w:t>оквиром</w:t>
      </w:r>
      <w:r>
        <w:rPr>
          <w:spacing w:val="-9"/>
        </w:rPr>
        <w:t> </w:t>
      </w:r>
      <w:r>
        <w:rPr/>
        <w:t>расхода</w:t>
      </w:r>
      <w:r>
        <w:rPr>
          <w:spacing w:val="-9"/>
        </w:rPr>
        <w:t> </w:t>
      </w:r>
      <w:r>
        <w:rPr/>
        <w:t>из</w:t>
      </w:r>
      <w:r>
        <w:rPr>
          <w:spacing w:val="-7"/>
        </w:rPr>
        <w:t> </w:t>
      </w:r>
      <w:r>
        <w:rPr/>
        <w:t>буџетске</w:t>
      </w:r>
      <w:r>
        <w:rPr>
          <w:spacing w:val="-8"/>
        </w:rPr>
        <w:t> </w:t>
      </w:r>
      <w:r>
        <w:rPr/>
        <w:t>процедуре</w:t>
      </w:r>
      <w:r>
        <w:rPr>
          <w:spacing w:val="-9"/>
        </w:rPr>
        <w:t> </w:t>
      </w:r>
      <w:r>
        <w:rPr/>
        <w:t>за 2021. годину, као и у складу са лимитима које Министарство финансија одреди за наредне године за одговарајуће разделе.</w:t>
      </w:r>
    </w:p>
    <w:p>
      <w:pPr>
        <w:pStyle w:val="BodyText"/>
        <w:spacing w:before="120"/>
        <w:ind w:right="712" w:firstLine="719"/>
      </w:pPr>
      <w:r>
        <w:rPr/>
        <w:t>За спровођење Стратегије и Акционог плана обезбедиће се средства из буџета Републике Србије, буџета Аутономне Покрајине Војводине, буџета јединица локалне самоуправе као и из донација.</w:t>
      </w:r>
    </w:p>
    <w:p>
      <w:pPr>
        <w:pStyle w:val="BodyText"/>
        <w:spacing w:before="246"/>
        <w:ind w:left="0"/>
        <w:jc w:val="left"/>
      </w:pPr>
    </w:p>
    <w:p>
      <w:pPr>
        <w:pStyle w:val="Heading1"/>
        <w:numPr>
          <w:ilvl w:val="0"/>
          <w:numId w:val="1"/>
        </w:numPr>
        <w:tabs>
          <w:tab w:pos="4311" w:val="left" w:leader="none"/>
        </w:tabs>
        <w:spacing w:line="240" w:lineRule="auto" w:before="0" w:after="0"/>
        <w:ind w:left="4311" w:right="0" w:hanging="360"/>
        <w:jc w:val="left"/>
      </w:pPr>
      <w:r>
        <w:rPr/>
        <w:t>ЗАВРШНИ</w:t>
      </w:r>
      <w:r>
        <w:rPr>
          <w:spacing w:val="-3"/>
        </w:rPr>
        <w:t> </w:t>
      </w:r>
      <w:r>
        <w:rPr>
          <w:spacing w:val="-5"/>
        </w:rPr>
        <w:t>ДЕО</w:t>
      </w:r>
    </w:p>
    <w:p>
      <w:pPr>
        <w:pStyle w:val="BodyText"/>
        <w:spacing w:before="144"/>
        <w:ind w:right="714" w:firstLine="719"/>
      </w:pPr>
      <w:r>
        <w:rPr/>
        <w:t>Ову стратегију објавити на интернет страници Владе, интернет страници Министарства</w:t>
      </w:r>
      <w:r>
        <w:rPr>
          <w:spacing w:val="-15"/>
        </w:rPr>
        <w:t> </w:t>
      </w:r>
      <w:r>
        <w:rPr/>
        <w:t>за</w:t>
      </w:r>
      <w:r>
        <w:rPr>
          <w:spacing w:val="-15"/>
        </w:rPr>
        <w:t> </w:t>
      </w:r>
      <w:r>
        <w:rPr/>
        <w:t>рад,</w:t>
      </w:r>
      <w:r>
        <w:rPr>
          <w:spacing w:val="-15"/>
        </w:rPr>
        <w:t> </w:t>
      </w:r>
      <w:r>
        <w:rPr/>
        <w:t>запошљавање,</w:t>
      </w:r>
      <w:r>
        <w:rPr>
          <w:spacing w:val="-15"/>
        </w:rPr>
        <w:t> </w:t>
      </w:r>
      <w:r>
        <w:rPr/>
        <w:t>борачка</w:t>
      </w:r>
      <w:r>
        <w:rPr>
          <w:spacing w:val="-15"/>
        </w:rPr>
        <w:t> </w:t>
      </w:r>
      <w:r>
        <w:rPr/>
        <w:t>и</w:t>
      </w:r>
      <w:r>
        <w:rPr>
          <w:spacing w:val="-15"/>
        </w:rPr>
        <w:t> </w:t>
      </w:r>
      <w:r>
        <w:rPr/>
        <w:t>социјална</w:t>
      </w:r>
      <w:r>
        <w:rPr>
          <w:spacing w:val="-15"/>
        </w:rPr>
        <w:t> </w:t>
      </w:r>
      <w:r>
        <w:rPr/>
        <w:t>питања</w:t>
      </w:r>
      <w:r>
        <w:rPr>
          <w:spacing w:val="-15"/>
        </w:rPr>
        <w:t> </w:t>
      </w:r>
      <w:r>
        <w:rPr/>
        <w:t>и</w:t>
      </w:r>
      <w:r>
        <w:rPr>
          <w:spacing w:val="-15"/>
        </w:rPr>
        <w:t> </w:t>
      </w:r>
      <w:r>
        <w:rPr/>
        <w:t>порталу</w:t>
      </w:r>
      <w:r>
        <w:rPr>
          <w:spacing w:val="-15"/>
        </w:rPr>
        <w:t> </w:t>
      </w:r>
      <w:r>
        <w:rPr/>
        <w:t>е-Управе,</w:t>
      </w:r>
      <w:r>
        <w:rPr>
          <w:spacing w:val="-15"/>
        </w:rPr>
        <w:t> </w:t>
      </w:r>
      <w:r>
        <w:rPr/>
        <w:t>у</w:t>
      </w:r>
      <w:r>
        <w:rPr>
          <w:spacing w:val="-15"/>
        </w:rPr>
        <w:t> </w:t>
      </w:r>
      <w:r>
        <w:rPr/>
        <w:t>року од седам радних дана од дана усвајања.</w:t>
      </w:r>
    </w:p>
    <w:p>
      <w:pPr>
        <w:pStyle w:val="BodyText"/>
        <w:spacing w:before="120"/>
        <w:ind w:left="1080"/>
      </w:pPr>
      <w:r>
        <w:rPr/>
        <w:t>Ову</w:t>
      </w:r>
      <w:r>
        <w:rPr>
          <w:spacing w:val="-6"/>
        </w:rPr>
        <w:t> </w:t>
      </w:r>
      <w:r>
        <w:rPr/>
        <w:t>стратегију</w:t>
      </w:r>
      <w:r>
        <w:rPr>
          <w:spacing w:val="-6"/>
        </w:rPr>
        <w:t> </w:t>
      </w:r>
      <w:r>
        <w:rPr/>
        <w:t>објавити</w:t>
      </w:r>
      <w:r>
        <w:rPr>
          <w:spacing w:val="2"/>
        </w:rPr>
        <w:t> </w:t>
      </w:r>
      <w:r>
        <w:rPr/>
        <w:t>у</w:t>
      </w:r>
      <w:r>
        <w:rPr>
          <w:spacing w:val="-5"/>
        </w:rPr>
        <w:t> </w:t>
      </w:r>
      <w:r>
        <w:rPr/>
        <w:t>„Службеном гласнику</w:t>
      </w:r>
      <w:r>
        <w:rPr>
          <w:spacing w:val="-6"/>
        </w:rPr>
        <w:t> </w:t>
      </w:r>
      <w:r>
        <w:rPr/>
        <w:t>Републике</w:t>
      </w:r>
      <w:r>
        <w:rPr>
          <w:spacing w:val="-1"/>
        </w:rPr>
        <w:t> </w:t>
      </w:r>
      <w:r>
        <w:rPr>
          <w:spacing w:val="-2"/>
        </w:rPr>
        <w:t>Србије”.</w:t>
      </w:r>
    </w:p>
    <w:p>
      <w:pPr>
        <w:pStyle w:val="BodyText"/>
        <w:spacing w:after="0"/>
        <w:sectPr>
          <w:pgSz w:w="12240" w:h="15840"/>
          <w:pgMar w:header="0" w:footer="702" w:top="1360" w:bottom="900" w:left="1080" w:right="720"/>
        </w:sectPr>
      </w:pPr>
    </w:p>
    <w:p>
      <w:pPr>
        <w:pStyle w:val="Heading1"/>
        <w:spacing w:before="68"/>
        <w:ind w:left="3" w:firstLine="0"/>
        <w:jc w:val="center"/>
      </w:pPr>
      <w:r>
        <w:rPr>
          <w:spacing w:val="-2"/>
        </w:rPr>
        <w:t>ОБРАЗЛОЖЕЊЕ</w:t>
      </w:r>
    </w:p>
    <w:p>
      <w:pPr>
        <w:pStyle w:val="BodyText"/>
        <w:ind w:left="0"/>
        <w:jc w:val="left"/>
        <w:rPr>
          <w:b/>
        </w:rPr>
      </w:pPr>
    </w:p>
    <w:p>
      <w:pPr>
        <w:pStyle w:val="BodyText"/>
        <w:spacing w:before="120"/>
        <w:ind w:left="0"/>
        <w:jc w:val="left"/>
        <w:rPr>
          <w:b/>
        </w:rPr>
      </w:pPr>
    </w:p>
    <w:p>
      <w:pPr>
        <w:pStyle w:val="Heading2"/>
        <w:numPr>
          <w:ilvl w:val="0"/>
          <w:numId w:val="6"/>
        </w:numPr>
        <w:tabs>
          <w:tab w:pos="1076" w:val="left" w:leader="none"/>
        </w:tabs>
        <w:spacing w:line="240" w:lineRule="auto" w:before="0" w:after="0"/>
        <w:ind w:left="1076" w:right="0" w:hanging="512"/>
        <w:jc w:val="both"/>
      </w:pPr>
      <w:r>
        <w:rPr/>
        <w:t>Правни</w:t>
      </w:r>
      <w:r>
        <w:rPr>
          <w:spacing w:val="-2"/>
        </w:rPr>
        <w:t> основ</w:t>
      </w:r>
    </w:p>
    <w:p>
      <w:pPr>
        <w:pStyle w:val="BodyText"/>
        <w:spacing w:before="115"/>
        <w:ind w:left="358" w:right="352" w:firstLine="719"/>
      </w:pPr>
      <w:r>
        <w:rPr/>
        <w:t>Правни</w:t>
      </w:r>
      <w:r>
        <w:rPr>
          <w:spacing w:val="-2"/>
        </w:rPr>
        <w:t> </w:t>
      </w:r>
      <w:r>
        <w:rPr/>
        <w:t>основ</w:t>
      </w:r>
      <w:r>
        <w:rPr>
          <w:spacing w:val="-4"/>
        </w:rPr>
        <w:t> </w:t>
      </w:r>
      <w:r>
        <w:rPr/>
        <w:t>за</w:t>
      </w:r>
      <w:r>
        <w:rPr>
          <w:spacing w:val="-4"/>
        </w:rPr>
        <w:t> </w:t>
      </w:r>
      <w:r>
        <w:rPr/>
        <w:t>доношење</w:t>
      </w:r>
      <w:r>
        <w:rPr>
          <w:spacing w:val="-2"/>
        </w:rPr>
        <w:t> </w:t>
      </w:r>
      <w:r>
        <w:rPr/>
        <w:t>Стратегије</w:t>
      </w:r>
      <w:r>
        <w:rPr>
          <w:spacing w:val="-4"/>
        </w:rPr>
        <w:t> </w:t>
      </w:r>
      <w:r>
        <w:rPr/>
        <w:t>запошљавања</w:t>
      </w:r>
      <w:r>
        <w:rPr>
          <w:spacing w:val="-2"/>
        </w:rPr>
        <w:t> </w:t>
      </w:r>
      <w:r>
        <w:rPr/>
        <w:t>у</w:t>
      </w:r>
      <w:r>
        <w:rPr>
          <w:spacing w:val="-7"/>
        </w:rPr>
        <w:t> </w:t>
      </w:r>
      <w:r>
        <w:rPr/>
        <w:t>Републици</w:t>
      </w:r>
      <w:r>
        <w:rPr>
          <w:spacing w:val="-2"/>
        </w:rPr>
        <w:t> </w:t>
      </w:r>
      <w:r>
        <w:rPr/>
        <w:t>Србији за</w:t>
      </w:r>
      <w:r>
        <w:rPr>
          <w:spacing w:val="-1"/>
        </w:rPr>
        <w:t> </w:t>
      </w:r>
      <w:r>
        <w:rPr/>
        <w:t>период од 2021. до 2026. године</w:t>
      </w:r>
      <w:r>
        <w:rPr>
          <w:spacing w:val="-1"/>
        </w:rPr>
        <w:t> </w:t>
      </w:r>
      <w:r>
        <w:rPr/>
        <w:t>је</w:t>
      </w:r>
      <w:r>
        <w:rPr>
          <w:spacing w:val="-1"/>
        </w:rPr>
        <w:t> </w:t>
      </w:r>
      <w:r>
        <w:rPr/>
        <w:t>члан 38. став</w:t>
      </w:r>
      <w:r>
        <w:rPr>
          <w:spacing w:val="-1"/>
        </w:rPr>
        <w:t> </w:t>
      </w:r>
      <w:r>
        <w:rPr/>
        <w:t>1. Закона</w:t>
      </w:r>
      <w:r>
        <w:rPr>
          <w:spacing w:val="-1"/>
        </w:rPr>
        <w:t> </w:t>
      </w:r>
      <w:r>
        <w:rPr/>
        <w:t>о планском</w:t>
      </w:r>
      <w:r>
        <w:rPr>
          <w:spacing w:val="-1"/>
        </w:rPr>
        <w:t> </w:t>
      </w:r>
      <w:r>
        <w:rPr/>
        <w:t>систему Републике Србије („Службени гласник РС”, број 30/18), којим је прописано да документ јавних политика на републичком нивоу, усваја Влада.</w:t>
      </w:r>
    </w:p>
    <w:p>
      <w:pPr>
        <w:pStyle w:val="BodyText"/>
        <w:spacing w:before="6"/>
        <w:ind w:left="0"/>
        <w:jc w:val="left"/>
      </w:pPr>
    </w:p>
    <w:p>
      <w:pPr>
        <w:pStyle w:val="Heading2"/>
        <w:numPr>
          <w:ilvl w:val="0"/>
          <w:numId w:val="6"/>
        </w:numPr>
        <w:tabs>
          <w:tab w:pos="1075" w:val="left" w:leader="none"/>
        </w:tabs>
        <w:spacing w:line="240" w:lineRule="auto" w:before="0" w:after="0"/>
        <w:ind w:left="1075" w:right="0" w:hanging="605"/>
        <w:jc w:val="both"/>
      </w:pPr>
      <w:r>
        <w:rPr/>
        <w:t>Разлози</w:t>
      </w:r>
      <w:r>
        <w:rPr>
          <w:spacing w:val="-4"/>
        </w:rPr>
        <w:t> </w:t>
      </w:r>
      <w:r>
        <w:rPr/>
        <w:t>за</w:t>
      </w:r>
      <w:r>
        <w:rPr>
          <w:spacing w:val="-2"/>
        </w:rPr>
        <w:t> </w:t>
      </w:r>
      <w:r>
        <w:rPr/>
        <w:t>доношење</w:t>
      </w:r>
      <w:r>
        <w:rPr>
          <w:spacing w:val="1"/>
        </w:rPr>
        <w:t> </w:t>
      </w:r>
      <w:r>
        <w:rPr>
          <w:spacing w:val="-2"/>
        </w:rPr>
        <w:t>Стратегије</w:t>
      </w:r>
    </w:p>
    <w:p>
      <w:pPr>
        <w:pStyle w:val="BodyText"/>
        <w:spacing w:before="115"/>
        <w:ind w:left="358" w:right="348" w:firstLine="719"/>
      </w:pPr>
      <w:r>
        <w:rPr/>
        <w:t>Имајући у виду да важећем стратешком документу у области запошљавања (Национална стратегија запошљавaња за период 2011-2020. године, </w:t>
      </w:r>
      <w:r>
        <w:rPr>
          <w:i/>
        </w:rPr>
        <w:t>„Службени гласник РСˮ, број 37/11) </w:t>
      </w:r>
      <w:r>
        <w:rPr/>
        <w:t>истиче временски опсег и да је потребно остварити континуитет у спровођењу политике запошљавања, али и надаље је развијати у складу са потребама националног тржишта рада (и реформским процесима политика од значаја и утицаја на област политике запошљавања) и наставити са усаглашавањем са стандардима у овој области</w:t>
      </w:r>
      <w:r>
        <w:rPr>
          <w:spacing w:val="40"/>
        </w:rPr>
        <w:t> </w:t>
      </w:r>
      <w:r>
        <w:rPr/>
        <w:t>који важе за државе чланице Европске уније (ЕУ), Министарство за рад, запошљавање, борачка и социјална питања, израдило је Предлог Стратегије запошљавања у Републици Србији за период од 2021. до 2026. године.</w:t>
      </w:r>
    </w:p>
    <w:p>
      <w:pPr>
        <w:pStyle w:val="BodyText"/>
        <w:spacing w:before="245"/>
        <w:ind w:left="0"/>
        <w:jc w:val="left"/>
      </w:pPr>
    </w:p>
    <w:p>
      <w:pPr>
        <w:pStyle w:val="Heading2"/>
        <w:numPr>
          <w:ilvl w:val="0"/>
          <w:numId w:val="6"/>
        </w:numPr>
        <w:tabs>
          <w:tab w:pos="1075" w:val="left" w:leader="none"/>
        </w:tabs>
        <w:spacing w:line="240" w:lineRule="auto" w:before="1" w:after="0"/>
        <w:ind w:left="1075" w:right="0" w:hanging="657"/>
        <w:jc w:val="both"/>
        <w:rPr>
          <w:b w:val="0"/>
        </w:rPr>
      </w:pPr>
      <w:r>
        <w:rPr/>
        <w:t>Финансијска</w:t>
      </w:r>
      <w:r>
        <w:rPr>
          <w:spacing w:val="-5"/>
        </w:rPr>
        <w:t> </w:t>
      </w:r>
      <w:r>
        <w:rPr>
          <w:spacing w:val="-2"/>
        </w:rPr>
        <w:t>средства</w:t>
      </w:r>
    </w:p>
    <w:p>
      <w:pPr>
        <w:pStyle w:val="BodyText"/>
        <w:spacing w:before="115"/>
        <w:ind w:left="358" w:right="351" w:firstLine="719"/>
      </w:pPr>
      <w:r>
        <w:rPr/>
        <w:t>За реализацију Стратегије запошљавања у Републици Србији за период</w:t>
      </w:r>
      <w:r>
        <w:rPr>
          <w:spacing w:val="40"/>
        </w:rPr>
        <w:t> </w:t>
      </w:r>
      <w:r>
        <w:rPr/>
        <w:t>од 2021. до 2026. године средства ће бити обезбеђена у буџету Републике </w:t>
      </w:r>
      <w:r>
        <w:rPr>
          <w:spacing w:val="-2"/>
        </w:rPr>
        <w:t>Србије.</w:t>
      </w:r>
    </w:p>
    <w:p>
      <w:pPr>
        <w:pStyle w:val="BodyText"/>
        <w:spacing w:after="0"/>
        <w:sectPr>
          <w:footerReference w:type="default" r:id="rId17"/>
          <w:pgSz w:w="11910" w:h="16850"/>
          <w:pgMar w:header="0" w:footer="0" w:top="1920" w:bottom="280" w:left="1440" w:right="144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45536">
                <wp:simplePos x="0" y="0"/>
                <wp:positionH relativeFrom="page">
                  <wp:posOffset>0</wp:posOffset>
                </wp:positionH>
                <wp:positionV relativeFrom="page">
                  <wp:posOffset>0</wp:posOffset>
                </wp:positionV>
                <wp:extent cx="7559040" cy="1069276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7559040" cy="10692765"/>
                          <a:chExt cx="7559040" cy="10692765"/>
                        </a:xfrm>
                      </wpg:grpSpPr>
                      <pic:pic>
                        <pic:nvPicPr>
                          <pic:cNvPr id="38" name="Image 38"/>
                          <pic:cNvPicPr/>
                        </pic:nvPicPr>
                        <pic:blipFill>
                          <a:blip r:embed="rId19" cstate="print"/>
                          <a:stretch>
                            <a:fillRect/>
                          </a:stretch>
                        </pic:blipFill>
                        <pic:spPr>
                          <a:xfrm>
                            <a:off x="0" y="0"/>
                            <a:ext cx="7559040" cy="10692383"/>
                          </a:xfrm>
                          <a:prstGeom prst="rect">
                            <a:avLst/>
                          </a:prstGeom>
                        </pic:spPr>
                      </pic:pic>
                      <pic:pic>
                        <pic:nvPicPr>
                          <pic:cNvPr id="39" name="Image 39"/>
                          <pic:cNvPicPr/>
                        </pic:nvPicPr>
                        <pic:blipFill>
                          <a:blip r:embed="rId20" cstate="print"/>
                          <a:stretch>
                            <a:fillRect/>
                          </a:stretch>
                        </pic:blipFill>
                        <pic:spPr>
                          <a:xfrm>
                            <a:off x="4785359" y="5312663"/>
                            <a:ext cx="1658112" cy="835151"/>
                          </a:xfrm>
                          <a:prstGeom prst="rect">
                            <a:avLst/>
                          </a:prstGeom>
                        </pic:spPr>
                      </pic:pic>
                      <pic:pic>
                        <pic:nvPicPr>
                          <pic:cNvPr id="40" name="Image 40"/>
                          <pic:cNvPicPr/>
                        </pic:nvPicPr>
                        <pic:blipFill>
                          <a:blip r:embed="rId21" cstate="print"/>
                          <a:stretch>
                            <a:fillRect/>
                          </a:stretch>
                        </pic:blipFill>
                        <pic:spPr>
                          <a:xfrm>
                            <a:off x="246888" y="0"/>
                            <a:ext cx="48768" cy="24383"/>
                          </a:xfrm>
                          <a:prstGeom prst="rect">
                            <a:avLst/>
                          </a:prstGeom>
                        </pic:spPr>
                      </pic:pic>
                      <pic:pic>
                        <pic:nvPicPr>
                          <pic:cNvPr id="41" name="Image 41"/>
                          <pic:cNvPicPr/>
                        </pic:nvPicPr>
                        <pic:blipFill>
                          <a:blip r:embed="rId22" cstate="print"/>
                          <a:stretch>
                            <a:fillRect/>
                          </a:stretch>
                        </pic:blipFill>
                        <pic:spPr>
                          <a:xfrm>
                            <a:off x="896111" y="0"/>
                            <a:ext cx="48768" cy="24383"/>
                          </a:xfrm>
                          <a:prstGeom prst="rect">
                            <a:avLst/>
                          </a:prstGeom>
                        </pic:spPr>
                      </pic:pic>
                      <pic:pic>
                        <pic:nvPicPr>
                          <pic:cNvPr id="42" name="Image 42"/>
                          <pic:cNvPicPr/>
                        </pic:nvPicPr>
                        <pic:blipFill>
                          <a:blip r:embed="rId23" cstate="print"/>
                          <a:stretch>
                            <a:fillRect/>
                          </a:stretch>
                        </pic:blipFill>
                        <pic:spPr>
                          <a:xfrm>
                            <a:off x="844296" y="2011679"/>
                            <a:ext cx="5779008" cy="1752600"/>
                          </a:xfrm>
                          <a:prstGeom prst="rect">
                            <a:avLst/>
                          </a:prstGeom>
                        </pic:spPr>
                      </pic:pic>
                      <pic:pic>
                        <pic:nvPicPr>
                          <pic:cNvPr id="43" name="Image 43"/>
                          <pic:cNvPicPr/>
                        </pic:nvPicPr>
                        <pic:blipFill>
                          <a:blip r:embed="rId24" cstate="print"/>
                          <a:stretch>
                            <a:fillRect/>
                          </a:stretch>
                        </pic:blipFill>
                        <pic:spPr>
                          <a:xfrm>
                            <a:off x="890016" y="4349495"/>
                            <a:ext cx="48768" cy="42672"/>
                          </a:xfrm>
                          <a:prstGeom prst="rect">
                            <a:avLst/>
                          </a:prstGeom>
                        </pic:spPr>
                      </pic:pic>
                      <pic:pic>
                        <pic:nvPicPr>
                          <pic:cNvPr id="44" name="Image 44"/>
                          <pic:cNvPicPr/>
                        </pic:nvPicPr>
                        <pic:blipFill>
                          <a:blip r:embed="rId25" cstate="print"/>
                          <a:stretch>
                            <a:fillRect/>
                          </a:stretch>
                        </pic:blipFill>
                        <pic:spPr>
                          <a:xfrm>
                            <a:off x="841247" y="4931663"/>
                            <a:ext cx="1731264" cy="344424"/>
                          </a:xfrm>
                          <a:prstGeom prst="rect">
                            <a:avLst/>
                          </a:prstGeom>
                        </pic:spPr>
                      </pic:pic>
                      <pic:pic>
                        <pic:nvPicPr>
                          <pic:cNvPr id="45" name="Image 45"/>
                          <pic:cNvPicPr/>
                        </pic:nvPicPr>
                        <pic:blipFill>
                          <a:blip r:embed="rId26" cstate="print"/>
                          <a:stretch>
                            <a:fillRect/>
                          </a:stretch>
                        </pic:blipFill>
                        <pic:spPr>
                          <a:xfrm>
                            <a:off x="2807207" y="5379719"/>
                            <a:ext cx="48768" cy="36575"/>
                          </a:xfrm>
                          <a:prstGeom prst="rect">
                            <a:avLst/>
                          </a:prstGeom>
                        </pic:spPr>
                      </pic:pic>
                      <pic:pic>
                        <pic:nvPicPr>
                          <pic:cNvPr id="46" name="Image 46"/>
                          <pic:cNvPicPr/>
                        </pic:nvPicPr>
                        <pic:blipFill>
                          <a:blip r:embed="rId27" cstate="print"/>
                          <a:stretch>
                            <a:fillRect/>
                          </a:stretch>
                        </pic:blipFill>
                        <pic:spPr>
                          <a:xfrm>
                            <a:off x="5376671" y="5443727"/>
                            <a:ext cx="170687" cy="109727"/>
                          </a:xfrm>
                          <a:prstGeom prst="rect">
                            <a:avLst/>
                          </a:prstGeom>
                        </pic:spPr>
                      </pic:pic>
                      <pic:pic>
                        <pic:nvPicPr>
                          <pic:cNvPr id="47" name="Image 47"/>
                          <pic:cNvPicPr/>
                        </pic:nvPicPr>
                        <pic:blipFill>
                          <a:blip r:embed="rId28" cstate="print"/>
                          <a:stretch>
                            <a:fillRect/>
                          </a:stretch>
                        </pic:blipFill>
                        <pic:spPr>
                          <a:xfrm>
                            <a:off x="289559" y="6083807"/>
                            <a:ext cx="48768" cy="36575"/>
                          </a:xfrm>
                          <a:prstGeom prst="rect">
                            <a:avLst/>
                          </a:prstGeom>
                        </pic:spPr>
                      </pic:pic>
                      <pic:pic>
                        <pic:nvPicPr>
                          <pic:cNvPr id="48" name="Image 48"/>
                          <pic:cNvPicPr/>
                        </pic:nvPicPr>
                        <pic:blipFill>
                          <a:blip r:embed="rId29" cstate="print"/>
                          <a:stretch>
                            <a:fillRect/>
                          </a:stretch>
                        </pic:blipFill>
                        <pic:spPr>
                          <a:xfrm>
                            <a:off x="4785359" y="5370575"/>
                            <a:ext cx="1463039" cy="1139952"/>
                          </a:xfrm>
                          <a:prstGeom prst="rect">
                            <a:avLst/>
                          </a:prstGeom>
                        </pic:spPr>
                      </pic:pic>
                      <pic:pic>
                        <pic:nvPicPr>
                          <pic:cNvPr id="49" name="Image 49"/>
                          <pic:cNvPicPr/>
                        </pic:nvPicPr>
                        <pic:blipFill>
                          <a:blip r:embed="rId30" cstate="print"/>
                          <a:stretch>
                            <a:fillRect/>
                          </a:stretch>
                        </pic:blipFill>
                        <pic:spPr>
                          <a:xfrm>
                            <a:off x="5559552" y="6138671"/>
                            <a:ext cx="121920" cy="103632"/>
                          </a:xfrm>
                          <a:prstGeom prst="rect">
                            <a:avLst/>
                          </a:prstGeom>
                        </pic:spPr>
                      </pic:pic>
                      <pic:pic>
                        <pic:nvPicPr>
                          <pic:cNvPr id="50" name="Image 50"/>
                          <pic:cNvPicPr/>
                        </pic:nvPicPr>
                        <pic:blipFill>
                          <a:blip r:embed="rId31" cstate="print"/>
                          <a:stretch>
                            <a:fillRect/>
                          </a:stretch>
                        </pic:blipFill>
                        <pic:spPr>
                          <a:xfrm>
                            <a:off x="2395727" y="0"/>
                            <a:ext cx="5163312" cy="10692383"/>
                          </a:xfrm>
                          <a:prstGeom prst="rect">
                            <a:avLst/>
                          </a:prstGeom>
                        </pic:spPr>
                      </pic:pic>
                    </wpg:wgp>
                  </a:graphicData>
                </a:graphic>
              </wp:anchor>
            </w:drawing>
          </mc:Choice>
          <mc:Fallback>
            <w:pict>
              <v:group style="position:absolute;margin-left:0pt;margin-top:0pt;width:595.2pt;height:841.95pt;mso-position-horizontal-relative:page;mso-position-vertical-relative:page;z-index:15745536" id="docshapegroup35" coordorigin="0,0" coordsize="11904,16839">
                <v:shape style="position:absolute;left:0;top:0;width:11904;height:16839" type="#_x0000_t75" id="docshape36" stroked="false">
                  <v:imagedata r:id="rId19" o:title=""/>
                </v:shape>
                <v:shape style="position:absolute;left:7536;top:8366;width:2612;height:1316" type="#_x0000_t75" id="docshape37" stroked="false">
                  <v:imagedata r:id="rId20" o:title=""/>
                </v:shape>
                <v:shape style="position:absolute;left:388;top:0;width:77;height:39" type="#_x0000_t75" id="docshape38" stroked="false">
                  <v:imagedata r:id="rId21" o:title=""/>
                </v:shape>
                <v:shape style="position:absolute;left:1411;top:0;width:77;height:39" type="#_x0000_t75" id="docshape39" stroked="false">
                  <v:imagedata r:id="rId22" o:title=""/>
                </v:shape>
                <v:shape style="position:absolute;left:1329;top:3168;width:9101;height:2760" type="#_x0000_t75" id="docshape40" stroked="false">
                  <v:imagedata r:id="rId23" o:title=""/>
                </v:shape>
                <v:shape style="position:absolute;left:1401;top:6849;width:77;height:68" type="#_x0000_t75" id="docshape41" stroked="false">
                  <v:imagedata r:id="rId24" o:title=""/>
                </v:shape>
                <v:shape style="position:absolute;left:1324;top:7766;width:2727;height:543" type="#_x0000_t75" id="docshape42" stroked="false">
                  <v:imagedata r:id="rId25" o:title=""/>
                </v:shape>
                <v:shape style="position:absolute;left:4420;top:8472;width:77;height:58" type="#_x0000_t75" id="docshape43" stroked="false">
                  <v:imagedata r:id="rId26" o:title=""/>
                </v:shape>
                <v:shape style="position:absolute;left:8467;top:8572;width:269;height:173" type="#_x0000_t75" id="docshape44" stroked="false">
                  <v:imagedata r:id="rId27" o:title=""/>
                </v:shape>
                <v:shape style="position:absolute;left:456;top:9580;width:77;height:58" type="#_x0000_t75" id="docshape45" stroked="false">
                  <v:imagedata r:id="rId28" o:title=""/>
                </v:shape>
                <v:shape style="position:absolute;left:7536;top:8457;width:2304;height:1796" type="#_x0000_t75" id="docshape46" stroked="false">
                  <v:imagedata r:id="rId29" o:title=""/>
                </v:shape>
                <v:shape style="position:absolute;left:8755;top:9667;width:192;height:164" type="#_x0000_t75" id="docshape47" stroked="false">
                  <v:imagedata r:id="rId30" o:title=""/>
                </v:shape>
                <v:shape style="position:absolute;left:3772;top:0;width:8132;height:16839" type="#_x0000_t75" id="docshape48" stroked="false">
                  <v:imagedata r:id="rId31" o:title=""/>
                </v:shape>
                <w10:wrap type="none"/>
              </v:group>
            </w:pict>
          </mc:Fallback>
        </mc:AlternateContent>
      </w:r>
    </w:p>
    <w:p>
      <w:pPr>
        <w:pStyle w:val="BodyText"/>
        <w:spacing w:after="0"/>
        <w:jc w:val="left"/>
        <w:rPr>
          <w:sz w:val="17"/>
        </w:rPr>
        <w:sectPr>
          <w:footerReference w:type="default" r:id="rId18"/>
          <w:pgSz w:w="11910" w:h="16840"/>
          <w:pgMar w:header="0" w:footer="0" w:top="1920" w:bottom="280" w:left="1440" w:right="1437"/>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46048">
                <wp:simplePos x="0" y="0"/>
                <wp:positionH relativeFrom="page">
                  <wp:posOffset>0</wp:posOffset>
                </wp:positionH>
                <wp:positionV relativeFrom="page">
                  <wp:posOffset>0</wp:posOffset>
                </wp:positionV>
                <wp:extent cx="7559040" cy="1069276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559040" cy="10692765"/>
                          <a:chExt cx="7559040" cy="10692765"/>
                        </a:xfrm>
                      </wpg:grpSpPr>
                      <pic:pic>
                        <pic:nvPicPr>
                          <pic:cNvPr id="52" name="Image 52"/>
                          <pic:cNvPicPr/>
                        </pic:nvPicPr>
                        <pic:blipFill>
                          <a:blip r:embed="rId33" cstate="print"/>
                          <a:stretch>
                            <a:fillRect/>
                          </a:stretch>
                        </pic:blipFill>
                        <pic:spPr>
                          <a:xfrm>
                            <a:off x="0" y="0"/>
                            <a:ext cx="7559040" cy="10692383"/>
                          </a:xfrm>
                          <a:prstGeom prst="rect">
                            <a:avLst/>
                          </a:prstGeom>
                        </pic:spPr>
                      </pic:pic>
                      <pic:pic>
                        <pic:nvPicPr>
                          <pic:cNvPr id="53" name="Image 53"/>
                          <pic:cNvPicPr/>
                        </pic:nvPicPr>
                        <pic:blipFill>
                          <a:blip r:embed="rId34" cstate="print"/>
                          <a:stretch>
                            <a:fillRect/>
                          </a:stretch>
                        </pic:blipFill>
                        <pic:spPr>
                          <a:xfrm>
                            <a:off x="758951" y="1463039"/>
                            <a:ext cx="5943600" cy="469392"/>
                          </a:xfrm>
                          <a:prstGeom prst="rect">
                            <a:avLst/>
                          </a:prstGeom>
                        </pic:spPr>
                      </pic:pic>
                      <pic:pic>
                        <pic:nvPicPr>
                          <pic:cNvPr id="54" name="Image 54"/>
                          <pic:cNvPicPr/>
                        </pic:nvPicPr>
                        <pic:blipFill>
                          <a:blip r:embed="rId35" cstate="print"/>
                          <a:stretch>
                            <a:fillRect/>
                          </a:stretch>
                        </pic:blipFill>
                        <pic:spPr>
                          <a:xfrm>
                            <a:off x="0" y="0"/>
                            <a:ext cx="5218176" cy="36575"/>
                          </a:xfrm>
                          <a:prstGeom prst="rect">
                            <a:avLst/>
                          </a:prstGeom>
                        </pic:spPr>
                      </pic:pic>
                      <pic:pic>
                        <pic:nvPicPr>
                          <pic:cNvPr id="55" name="Image 55"/>
                          <pic:cNvPicPr/>
                        </pic:nvPicPr>
                        <pic:blipFill>
                          <a:blip r:embed="rId36" cstate="print"/>
                          <a:stretch>
                            <a:fillRect/>
                          </a:stretch>
                        </pic:blipFill>
                        <pic:spPr>
                          <a:xfrm>
                            <a:off x="6257544" y="158495"/>
                            <a:ext cx="48767" cy="33527"/>
                          </a:xfrm>
                          <a:prstGeom prst="rect">
                            <a:avLst/>
                          </a:prstGeom>
                        </pic:spPr>
                      </pic:pic>
                      <pic:pic>
                        <pic:nvPicPr>
                          <pic:cNvPr id="56" name="Image 56"/>
                          <pic:cNvPicPr/>
                        </pic:nvPicPr>
                        <pic:blipFill>
                          <a:blip r:embed="rId37" cstate="print"/>
                          <a:stretch>
                            <a:fillRect/>
                          </a:stretch>
                        </pic:blipFill>
                        <pic:spPr>
                          <a:xfrm>
                            <a:off x="411480" y="249935"/>
                            <a:ext cx="73151" cy="67055"/>
                          </a:xfrm>
                          <a:prstGeom prst="rect">
                            <a:avLst/>
                          </a:prstGeom>
                        </pic:spPr>
                      </pic:pic>
                      <pic:pic>
                        <pic:nvPicPr>
                          <pic:cNvPr id="57" name="Image 57"/>
                          <pic:cNvPicPr/>
                        </pic:nvPicPr>
                        <pic:blipFill>
                          <a:blip r:embed="rId38" cstate="print"/>
                          <a:stretch>
                            <a:fillRect/>
                          </a:stretch>
                        </pic:blipFill>
                        <pic:spPr>
                          <a:xfrm>
                            <a:off x="746759" y="481583"/>
                            <a:ext cx="97535" cy="82296"/>
                          </a:xfrm>
                          <a:prstGeom prst="rect">
                            <a:avLst/>
                          </a:prstGeom>
                        </pic:spPr>
                      </pic:pic>
                      <pic:pic>
                        <pic:nvPicPr>
                          <pic:cNvPr id="58" name="Image 58"/>
                          <pic:cNvPicPr/>
                        </pic:nvPicPr>
                        <pic:blipFill>
                          <a:blip r:embed="rId39" cstate="print"/>
                          <a:stretch>
                            <a:fillRect/>
                          </a:stretch>
                        </pic:blipFill>
                        <pic:spPr>
                          <a:xfrm>
                            <a:off x="5407152" y="545591"/>
                            <a:ext cx="48767" cy="36575"/>
                          </a:xfrm>
                          <a:prstGeom prst="rect">
                            <a:avLst/>
                          </a:prstGeom>
                        </pic:spPr>
                      </pic:pic>
                      <pic:pic>
                        <pic:nvPicPr>
                          <pic:cNvPr id="59" name="Image 59"/>
                          <pic:cNvPicPr/>
                        </pic:nvPicPr>
                        <pic:blipFill>
                          <a:blip r:embed="rId40" cstate="print"/>
                          <a:stretch>
                            <a:fillRect/>
                          </a:stretch>
                        </pic:blipFill>
                        <pic:spPr>
                          <a:xfrm>
                            <a:off x="2767583" y="1548383"/>
                            <a:ext cx="73151" cy="70103"/>
                          </a:xfrm>
                          <a:prstGeom prst="rect">
                            <a:avLst/>
                          </a:prstGeom>
                        </pic:spPr>
                      </pic:pic>
                      <pic:pic>
                        <pic:nvPicPr>
                          <pic:cNvPr id="60" name="Image 60"/>
                          <pic:cNvPicPr/>
                        </pic:nvPicPr>
                        <pic:blipFill>
                          <a:blip r:embed="rId41" cstate="print"/>
                          <a:stretch>
                            <a:fillRect/>
                          </a:stretch>
                        </pic:blipFill>
                        <pic:spPr>
                          <a:xfrm>
                            <a:off x="758951" y="1459991"/>
                            <a:ext cx="5949696" cy="137159"/>
                          </a:xfrm>
                          <a:prstGeom prst="rect">
                            <a:avLst/>
                          </a:prstGeom>
                        </pic:spPr>
                      </pic:pic>
                      <pic:pic>
                        <pic:nvPicPr>
                          <pic:cNvPr id="61" name="Image 61"/>
                          <pic:cNvPicPr/>
                        </pic:nvPicPr>
                        <pic:blipFill>
                          <a:blip r:embed="rId42" cstate="print"/>
                          <a:stretch>
                            <a:fillRect/>
                          </a:stretch>
                        </pic:blipFill>
                        <pic:spPr>
                          <a:xfrm>
                            <a:off x="786383" y="1487423"/>
                            <a:ext cx="5852160" cy="420624"/>
                          </a:xfrm>
                          <a:prstGeom prst="rect">
                            <a:avLst/>
                          </a:prstGeom>
                        </pic:spPr>
                      </pic:pic>
                      <pic:pic>
                        <pic:nvPicPr>
                          <pic:cNvPr id="62" name="Image 62"/>
                          <pic:cNvPicPr/>
                        </pic:nvPicPr>
                        <pic:blipFill>
                          <a:blip r:embed="rId43" cstate="print"/>
                          <a:stretch>
                            <a:fillRect/>
                          </a:stretch>
                        </pic:blipFill>
                        <pic:spPr>
                          <a:xfrm>
                            <a:off x="4526279" y="4434839"/>
                            <a:ext cx="48767" cy="36575"/>
                          </a:xfrm>
                          <a:prstGeom prst="rect">
                            <a:avLst/>
                          </a:prstGeom>
                        </pic:spPr>
                      </pic:pic>
                      <pic:pic>
                        <pic:nvPicPr>
                          <pic:cNvPr id="63" name="Image 63"/>
                          <pic:cNvPicPr/>
                        </pic:nvPicPr>
                        <pic:blipFill>
                          <a:blip r:embed="rId44" cstate="print"/>
                          <a:stretch>
                            <a:fillRect/>
                          </a:stretch>
                        </pic:blipFill>
                        <pic:spPr>
                          <a:xfrm>
                            <a:off x="3767328" y="4663439"/>
                            <a:ext cx="2852928" cy="18287"/>
                          </a:xfrm>
                          <a:prstGeom prst="rect">
                            <a:avLst/>
                          </a:prstGeom>
                        </pic:spPr>
                      </pic:pic>
                      <pic:pic>
                        <pic:nvPicPr>
                          <pic:cNvPr id="64" name="Image 64"/>
                          <pic:cNvPicPr/>
                        </pic:nvPicPr>
                        <pic:blipFill>
                          <a:blip r:embed="rId45" cstate="print"/>
                          <a:stretch>
                            <a:fillRect/>
                          </a:stretch>
                        </pic:blipFill>
                        <pic:spPr>
                          <a:xfrm>
                            <a:off x="2929127" y="5145023"/>
                            <a:ext cx="48768" cy="33527"/>
                          </a:xfrm>
                          <a:prstGeom prst="rect">
                            <a:avLst/>
                          </a:prstGeom>
                        </pic:spPr>
                      </pic:pic>
                      <pic:pic>
                        <pic:nvPicPr>
                          <pic:cNvPr id="65" name="Image 65"/>
                          <pic:cNvPicPr/>
                        </pic:nvPicPr>
                        <pic:blipFill>
                          <a:blip r:embed="rId46" cstate="print"/>
                          <a:stretch>
                            <a:fillRect/>
                          </a:stretch>
                        </pic:blipFill>
                        <pic:spPr>
                          <a:xfrm>
                            <a:off x="1917192" y="5626607"/>
                            <a:ext cx="48768" cy="33527"/>
                          </a:xfrm>
                          <a:prstGeom prst="rect">
                            <a:avLst/>
                          </a:prstGeom>
                        </pic:spPr>
                      </pic:pic>
                      <pic:pic>
                        <pic:nvPicPr>
                          <pic:cNvPr id="66" name="Image 66"/>
                          <pic:cNvPicPr/>
                        </pic:nvPicPr>
                        <pic:blipFill>
                          <a:blip r:embed="rId47" cstate="print"/>
                          <a:stretch>
                            <a:fillRect/>
                          </a:stretch>
                        </pic:blipFill>
                        <pic:spPr>
                          <a:xfrm>
                            <a:off x="2493264" y="6294119"/>
                            <a:ext cx="48768" cy="33527"/>
                          </a:xfrm>
                          <a:prstGeom prst="rect">
                            <a:avLst/>
                          </a:prstGeom>
                        </pic:spPr>
                      </pic:pic>
                      <pic:pic>
                        <pic:nvPicPr>
                          <pic:cNvPr id="67" name="Image 67"/>
                          <pic:cNvPicPr/>
                        </pic:nvPicPr>
                        <pic:blipFill>
                          <a:blip r:embed="rId48" cstate="print"/>
                          <a:stretch>
                            <a:fillRect/>
                          </a:stretch>
                        </pic:blipFill>
                        <pic:spPr>
                          <a:xfrm>
                            <a:off x="4748784" y="7354823"/>
                            <a:ext cx="48767" cy="33527"/>
                          </a:xfrm>
                          <a:prstGeom prst="rect">
                            <a:avLst/>
                          </a:prstGeom>
                        </pic:spPr>
                      </pic:pic>
                      <pic:pic>
                        <pic:nvPicPr>
                          <pic:cNvPr id="68" name="Image 68"/>
                          <pic:cNvPicPr/>
                        </pic:nvPicPr>
                        <pic:blipFill>
                          <a:blip r:embed="rId49" cstate="print"/>
                          <a:stretch>
                            <a:fillRect/>
                          </a:stretch>
                        </pic:blipFill>
                        <pic:spPr>
                          <a:xfrm>
                            <a:off x="2444495" y="8360664"/>
                            <a:ext cx="48768" cy="39624"/>
                          </a:xfrm>
                          <a:prstGeom prst="rect">
                            <a:avLst/>
                          </a:prstGeom>
                        </pic:spPr>
                      </pic:pic>
                      <pic:pic>
                        <pic:nvPicPr>
                          <pic:cNvPr id="69" name="Image 69"/>
                          <pic:cNvPicPr/>
                        </pic:nvPicPr>
                        <pic:blipFill>
                          <a:blip r:embed="rId50" cstate="print"/>
                          <a:stretch>
                            <a:fillRect/>
                          </a:stretch>
                        </pic:blipFill>
                        <pic:spPr>
                          <a:xfrm>
                            <a:off x="6007608" y="8839200"/>
                            <a:ext cx="48767" cy="36575"/>
                          </a:xfrm>
                          <a:prstGeom prst="rect">
                            <a:avLst/>
                          </a:prstGeom>
                        </pic:spPr>
                      </pic:pic>
                      <pic:pic>
                        <pic:nvPicPr>
                          <pic:cNvPr id="70" name="Image 70"/>
                          <pic:cNvPicPr/>
                        </pic:nvPicPr>
                        <pic:blipFill>
                          <a:blip r:embed="rId51" cstate="print"/>
                          <a:stretch>
                            <a:fillRect/>
                          </a:stretch>
                        </pic:blipFill>
                        <pic:spPr>
                          <a:xfrm>
                            <a:off x="2033016" y="8872727"/>
                            <a:ext cx="48768" cy="33527"/>
                          </a:xfrm>
                          <a:prstGeom prst="rect">
                            <a:avLst/>
                          </a:prstGeom>
                        </pic:spPr>
                      </pic:pic>
                      <pic:pic>
                        <pic:nvPicPr>
                          <pic:cNvPr id="71" name="Image 71"/>
                          <pic:cNvPicPr/>
                        </pic:nvPicPr>
                        <pic:blipFill>
                          <a:blip r:embed="rId52" cstate="print"/>
                          <a:stretch>
                            <a:fillRect/>
                          </a:stretch>
                        </pic:blipFill>
                        <pic:spPr>
                          <a:xfrm>
                            <a:off x="1060703" y="2273807"/>
                            <a:ext cx="5583936" cy="6989063"/>
                          </a:xfrm>
                          <a:prstGeom prst="rect">
                            <a:avLst/>
                          </a:prstGeom>
                        </pic:spPr>
                      </pic:pic>
                      <pic:pic>
                        <pic:nvPicPr>
                          <pic:cNvPr id="72" name="Image 72"/>
                          <pic:cNvPicPr/>
                        </pic:nvPicPr>
                        <pic:blipFill>
                          <a:blip r:embed="rId53" cstate="print"/>
                          <a:stretch>
                            <a:fillRect/>
                          </a:stretch>
                        </pic:blipFill>
                        <pic:spPr>
                          <a:xfrm>
                            <a:off x="4133088" y="9369552"/>
                            <a:ext cx="48767" cy="33528"/>
                          </a:xfrm>
                          <a:prstGeom prst="rect">
                            <a:avLst/>
                          </a:prstGeom>
                        </pic:spPr>
                      </pic:pic>
                      <pic:pic>
                        <pic:nvPicPr>
                          <pic:cNvPr id="73" name="Image 73"/>
                          <pic:cNvPicPr/>
                        </pic:nvPicPr>
                        <pic:blipFill>
                          <a:blip r:embed="rId54" cstate="print"/>
                          <a:stretch>
                            <a:fillRect/>
                          </a:stretch>
                        </pic:blipFill>
                        <pic:spPr>
                          <a:xfrm>
                            <a:off x="2883407" y="10049255"/>
                            <a:ext cx="48768" cy="45720"/>
                          </a:xfrm>
                          <a:prstGeom prst="rect">
                            <a:avLst/>
                          </a:prstGeom>
                        </pic:spPr>
                      </pic:pic>
                      <pic:pic>
                        <pic:nvPicPr>
                          <pic:cNvPr id="74" name="Image 74"/>
                          <pic:cNvPicPr/>
                        </pic:nvPicPr>
                        <pic:blipFill>
                          <a:blip r:embed="rId55" cstate="print"/>
                          <a:stretch>
                            <a:fillRect/>
                          </a:stretch>
                        </pic:blipFill>
                        <pic:spPr>
                          <a:xfrm>
                            <a:off x="7062216" y="10652759"/>
                            <a:ext cx="48768" cy="39624"/>
                          </a:xfrm>
                          <a:prstGeom prst="rect">
                            <a:avLst/>
                          </a:prstGeom>
                        </pic:spPr>
                      </pic:pic>
                      <pic:pic>
                        <pic:nvPicPr>
                          <pic:cNvPr id="75" name="Image 75"/>
                          <pic:cNvPicPr/>
                        </pic:nvPicPr>
                        <pic:blipFill>
                          <a:blip r:embed="rId56" cstate="print"/>
                          <a:stretch>
                            <a:fillRect/>
                          </a:stretch>
                        </pic:blipFill>
                        <pic:spPr>
                          <a:xfrm>
                            <a:off x="7482840" y="12191"/>
                            <a:ext cx="73151" cy="10680192"/>
                          </a:xfrm>
                          <a:prstGeom prst="rect">
                            <a:avLst/>
                          </a:prstGeom>
                        </pic:spPr>
                      </pic:pic>
                    </wpg:wgp>
                  </a:graphicData>
                </a:graphic>
              </wp:anchor>
            </w:drawing>
          </mc:Choice>
          <mc:Fallback>
            <w:pict>
              <v:group style="position:absolute;margin-left:0pt;margin-top:0pt;width:595.2pt;height:841.95pt;mso-position-horizontal-relative:page;mso-position-vertical-relative:page;z-index:15746048" id="docshapegroup49" coordorigin="0,0" coordsize="11904,16839">
                <v:shape style="position:absolute;left:0;top:0;width:11904;height:16839" type="#_x0000_t75" id="docshape50" stroked="false">
                  <v:imagedata r:id="rId33" o:title=""/>
                </v:shape>
                <v:shape style="position:absolute;left:1195;top:2304;width:9360;height:740" type="#_x0000_t75" id="docshape51" stroked="false">
                  <v:imagedata r:id="rId34" o:title=""/>
                </v:shape>
                <v:shape style="position:absolute;left:0;top:0;width:8218;height:58" type="#_x0000_t75" id="docshape52" stroked="false">
                  <v:imagedata r:id="rId35" o:title=""/>
                </v:shape>
                <v:shape style="position:absolute;left:9854;top:249;width:77;height:53" type="#_x0000_t75" id="docshape53" stroked="false">
                  <v:imagedata r:id="rId36" o:title=""/>
                </v:shape>
                <v:shape style="position:absolute;left:648;top:393;width:116;height:106" type="#_x0000_t75" id="docshape54" stroked="false">
                  <v:imagedata r:id="rId37" o:title=""/>
                </v:shape>
                <v:shape style="position:absolute;left:1176;top:758;width:154;height:130" type="#_x0000_t75" id="docshape55" stroked="false">
                  <v:imagedata r:id="rId38" o:title=""/>
                </v:shape>
                <v:shape style="position:absolute;left:8515;top:859;width:77;height:58" type="#_x0000_t75" id="docshape56" stroked="false">
                  <v:imagedata r:id="rId39" o:title=""/>
                </v:shape>
                <v:shape style="position:absolute;left:4358;top:2438;width:116;height:111" type="#_x0000_t75" id="docshape57" stroked="false">
                  <v:imagedata r:id="rId40" o:title=""/>
                </v:shape>
                <v:shape style="position:absolute;left:1195;top:2299;width:9370;height:216" type="#_x0000_t75" id="docshape58" stroked="false">
                  <v:imagedata r:id="rId41" o:title=""/>
                </v:shape>
                <v:shape style="position:absolute;left:1238;top:2342;width:9216;height:663" type="#_x0000_t75" id="docshape59" stroked="false">
                  <v:imagedata r:id="rId42" o:title=""/>
                </v:shape>
                <v:shape style="position:absolute;left:7128;top:6984;width:77;height:58" type="#_x0000_t75" id="docshape60" stroked="false">
                  <v:imagedata r:id="rId43" o:title=""/>
                </v:shape>
                <v:shape style="position:absolute;left:5932;top:7344;width:4493;height:29" type="#_x0000_t75" id="docshape61" stroked="false">
                  <v:imagedata r:id="rId44" o:title=""/>
                </v:shape>
                <v:shape style="position:absolute;left:4612;top:8102;width:77;height:53" type="#_x0000_t75" id="docshape62" stroked="false">
                  <v:imagedata r:id="rId45" o:title=""/>
                </v:shape>
                <v:shape style="position:absolute;left:3019;top:8860;width:77;height:53" type="#_x0000_t75" id="docshape63" stroked="false">
                  <v:imagedata r:id="rId46" o:title=""/>
                </v:shape>
                <v:shape style="position:absolute;left:3926;top:9912;width:77;height:53" type="#_x0000_t75" id="docshape64" stroked="false">
                  <v:imagedata r:id="rId47" o:title=""/>
                </v:shape>
                <v:shape style="position:absolute;left:7478;top:11582;width:77;height:53" type="#_x0000_t75" id="docshape65" stroked="false">
                  <v:imagedata r:id="rId48" o:title=""/>
                </v:shape>
                <v:shape style="position:absolute;left:3849;top:13166;width:77;height:63" type="#_x0000_t75" id="docshape66" stroked="false">
                  <v:imagedata r:id="rId49" o:title=""/>
                </v:shape>
                <v:shape style="position:absolute;left:9460;top:13920;width:77;height:58" type="#_x0000_t75" id="docshape67" stroked="false">
                  <v:imagedata r:id="rId50" o:title=""/>
                </v:shape>
                <v:shape style="position:absolute;left:3201;top:13972;width:77;height:53" type="#_x0000_t75" id="docshape68" stroked="false">
                  <v:imagedata r:id="rId51" o:title=""/>
                </v:shape>
                <v:shape style="position:absolute;left:1670;top:3580;width:8794;height:11007" type="#_x0000_t75" id="docshape69" stroked="false">
                  <v:imagedata r:id="rId52" o:title=""/>
                </v:shape>
                <v:shape style="position:absolute;left:6508;top:14755;width:77;height:53" type="#_x0000_t75" id="docshape70" stroked="false">
                  <v:imagedata r:id="rId53" o:title=""/>
                </v:shape>
                <v:shape style="position:absolute;left:4540;top:15825;width:77;height:72" type="#_x0000_t75" id="docshape71" stroked="false">
                  <v:imagedata r:id="rId54" o:title=""/>
                </v:shape>
                <v:shape style="position:absolute;left:11121;top:16776;width:77;height:63" type="#_x0000_t75" id="docshape72" stroked="false">
                  <v:imagedata r:id="rId55" o:title=""/>
                </v:shape>
                <v:shape style="position:absolute;left:11784;top:19;width:116;height:16820" type="#_x0000_t75" id="docshape73" stroked="false">
                  <v:imagedata r:id="rId56" o:title=""/>
                </v:shape>
                <w10:wrap type="none"/>
              </v:group>
            </w:pict>
          </mc:Fallback>
        </mc:AlternateContent>
      </w:r>
    </w:p>
    <w:p>
      <w:pPr>
        <w:pStyle w:val="BodyText"/>
        <w:spacing w:after="0"/>
        <w:jc w:val="left"/>
        <w:rPr>
          <w:sz w:val="17"/>
        </w:rPr>
        <w:sectPr>
          <w:footerReference w:type="default" r:id="rId32"/>
          <w:pgSz w:w="11910" w:h="16840"/>
          <w:pgMar w:header="0" w:footer="0" w:top="1920" w:bottom="280" w:left="1440" w:right="1437"/>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ge">
                  <wp:posOffset>0</wp:posOffset>
                </wp:positionV>
                <wp:extent cx="7559040" cy="1069276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7559040" cy="10692765"/>
                          <a:chExt cx="7559040" cy="10692765"/>
                        </a:xfrm>
                      </wpg:grpSpPr>
                      <pic:pic>
                        <pic:nvPicPr>
                          <pic:cNvPr id="77" name="Image 77"/>
                          <pic:cNvPicPr/>
                        </pic:nvPicPr>
                        <pic:blipFill>
                          <a:blip r:embed="rId58" cstate="print"/>
                          <a:stretch>
                            <a:fillRect/>
                          </a:stretch>
                        </pic:blipFill>
                        <pic:spPr>
                          <a:xfrm>
                            <a:off x="0" y="0"/>
                            <a:ext cx="7559040" cy="10692383"/>
                          </a:xfrm>
                          <a:prstGeom prst="rect">
                            <a:avLst/>
                          </a:prstGeom>
                        </pic:spPr>
                      </pic:pic>
                      <pic:pic>
                        <pic:nvPicPr>
                          <pic:cNvPr id="78" name="Image 78"/>
                          <pic:cNvPicPr/>
                        </pic:nvPicPr>
                        <pic:blipFill>
                          <a:blip r:embed="rId59" cstate="print"/>
                          <a:stretch>
                            <a:fillRect/>
                          </a:stretch>
                        </pic:blipFill>
                        <pic:spPr>
                          <a:xfrm>
                            <a:off x="4361688" y="3380231"/>
                            <a:ext cx="1624584" cy="1197864"/>
                          </a:xfrm>
                          <a:prstGeom prst="rect">
                            <a:avLst/>
                          </a:prstGeom>
                        </pic:spPr>
                      </pic:pic>
                      <pic:pic>
                        <pic:nvPicPr>
                          <pic:cNvPr id="79" name="Image 79"/>
                          <pic:cNvPicPr/>
                        </pic:nvPicPr>
                        <pic:blipFill>
                          <a:blip r:embed="rId60" cstate="print"/>
                          <a:stretch>
                            <a:fillRect/>
                          </a:stretch>
                        </pic:blipFill>
                        <pic:spPr>
                          <a:xfrm>
                            <a:off x="30480" y="0"/>
                            <a:ext cx="7528560" cy="39623"/>
                          </a:xfrm>
                          <a:prstGeom prst="rect">
                            <a:avLst/>
                          </a:prstGeom>
                        </pic:spPr>
                      </pic:pic>
                      <pic:pic>
                        <pic:nvPicPr>
                          <pic:cNvPr id="80" name="Image 80"/>
                          <pic:cNvPicPr/>
                        </pic:nvPicPr>
                        <pic:blipFill>
                          <a:blip r:embed="rId61" cstate="print"/>
                          <a:stretch>
                            <a:fillRect/>
                          </a:stretch>
                        </pic:blipFill>
                        <pic:spPr>
                          <a:xfrm>
                            <a:off x="411480" y="252983"/>
                            <a:ext cx="73151" cy="79248"/>
                          </a:xfrm>
                          <a:prstGeom prst="rect">
                            <a:avLst/>
                          </a:prstGeom>
                        </pic:spPr>
                      </pic:pic>
                      <pic:pic>
                        <pic:nvPicPr>
                          <pic:cNvPr id="81" name="Image 81"/>
                          <pic:cNvPicPr/>
                        </pic:nvPicPr>
                        <pic:blipFill>
                          <a:blip r:embed="rId62" cstate="print"/>
                          <a:stretch>
                            <a:fillRect/>
                          </a:stretch>
                        </pic:blipFill>
                        <pic:spPr>
                          <a:xfrm>
                            <a:off x="749808" y="466343"/>
                            <a:ext cx="73151" cy="85344"/>
                          </a:xfrm>
                          <a:prstGeom prst="rect">
                            <a:avLst/>
                          </a:prstGeom>
                        </pic:spPr>
                      </pic:pic>
                      <pic:pic>
                        <pic:nvPicPr>
                          <pic:cNvPr id="82" name="Image 82"/>
                          <pic:cNvPicPr/>
                        </pic:nvPicPr>
                        <pic:blipFill>
                          <a:blip r:embed="rId63" cstate="print"/>
                          <a:stretch>
                            <a:fillRect/>
                          </a:stretch>
                        </pic:blipFill>
                        <pic:spPr>
                          <a:xfrm>
                            <a:off x="5471159" y="1042415"/>
                            <a:ext cx="48767" cy="36575"/>
                          </a:xfrm>
                          <a:prstGeom prst="rect">
                            <a:avLst/>
                          </a:prstGeom>
                        </pic:spPr>
                      </pic:pic>
                      <pic:pic>
                        <pic:nvPicPr>
                          <pic:cNvPr id="83" name="Image 83"/>
                          <pic:cNvPicPr/>
                        </pic:nvPicPr>
                        <pic:blipFill>
                          <a:blip r:embed="rId64" cstate="print"/>
                          <a:stretch>
                            <a:fillRect/>
                          </a:stretch>
                        </pic:blipFill>
                        <pic:spPr>
                          <a:xfrm>
                            <a:off x="4992623" y="1185671"/>
                            <a:ext cx="48767" cy="33527"/>
                          </a:xfrm>
                          <a:prstGeom prst="rect">
                            <a:avLst/>
                          </a:prstGeom>
                        </pic:spPr>
                      </pic:pic>
                      <pic:pic>
                        <pic:nvPicPr>
                          <pic:cNvPr id="84" name="Image 84"/>
                          <pic:cNvPicPr/>
                        </pic:nvPicPr>
                        <pic:blipFill>
                          <a:blip r:embed="rId65" cstate="print"/>
                          <a:stretch>
                            <a:fillRect/>
                          </a:stretch>
                        </pic:blipFill>
                        <pic:spPr>
                          <a:xfrm>
                            <a:off x="5486400" y="1496567"/>
                            <a:ext cx="73151" cy="48768"/>
                          </a:xfrm>
                          <a:prstGeom prst="rect">
                            <a:avLst/>
                          </a:prstGeom>
                        </pic:spPr>
                      </pic:pic>
                      <pic:pic>
                        <pic:nvPicPr>
                          <pic:cNvPr id="85" name="Image 85"/>
                          <pic:cNvPicPr/>
                        </pic:nvPicPr>
                        <pic:blipFill>
                          <a:blip r:embed="rId66" cstate="print"/>
                          <a:stretch>
                            <a:fillRect/>
                          </a:stretch>
                        </pic:blipFill>
                        <pic:spPr>
                          <a:xfrm>
                            <a:off x="6723888" y="2008631"/>
                            <a:ext cx="48768" cy="33527"/>
                          </a:xfrm>
                          <a:prstGeom prst="rect">
                            <a:avLst/>
                          </a:prstGeom>
                        </pic:spPr>
                      </pic:pic>
                      <pic:pic>
                        <pic:nvPicPr>
                          <pic:cNvPr id="86" name="Image 86"/>
                          <pic:cNvPicPr/>
                        </pic:nvPicPr>
                        <pic:blipFill>
                          <a:blip r:embed="rId67" cstate="print"/>
                          <a:stretch>
                            <a:fillRect/>
                          </a:stretch>
                        </pic:blipFill>
                        <pic:spPr>
                          <a:xfrm>
                            <a:off x="7178040" y="2511551"/>
                            <a:ext cx="48768" cy="33527"/>
                          </a:xfrm>
                          <a:prstGeom prst="rect">
                            <a:avLst/>
                          </a:prstGeom>
                        </pic:spPr>
                      </pic:pic>
                      <pic:pic>
                        <pic:nvPicPr>
                          <pic:cNvPr id="87" name="Image 87"/>
                          <pic:cNvPicPr/>
                        </pic:nvPicPr>
                        <pic:blipFill>
                          <a:blip r:embed="rId68" cstate="print"/>
                          <a:stretch>
                            <a:fillRect/>
                          </a:stretch>
                        </pic:blipFill>
                        <pic:spPr>
                          <a:xfrm>
                            <a:off x="1295400" y="1484375"/>
                            <a:ext cx="5364480" cy="1383792"/>
                          </a:xfrm>
                          <a:prstGeom prst="rect">
                            <a:avLst/>
                          </a:prstGeom>
                        </pic:spPr>
                      </pic:pic>
                      <pic:pic>
                        <pic:nvPicPr>
                          <pic:cNvPr id="88" name="Image 88"/>
                          <pic:cNvPicPr/>
                        </pic:nvPicPr>
                        <pic:blipFill>
                          <a:blip r:embed="rId69" cstate="print"/>
                          <a:stretch>
                            <a:fillRect/>
                          </a:stretch>
                        </pic:blipFill>
                        <pic:spPr>
                          <a:xfrm>
                            <a:off x="5702808" y="3029711"/>
                            <a:ext cx="48767" cy="39624"/>
                          </a:xfrm>
                          <a:prstGeom prst="rect">
                            <a:avLst/>
                          </a:prstGeom>
                        </pic:spPr>
                      </pic:pic>
                      <pic:pic>
                        <pic:nvPicPr>
                          <pic:cNvPr id="89" name="Image 89"/>
                          <pic:cNvPicPr/>
                        </pic:nvPicPr>
                        <pic:blipFill>
                          <a:blip r:embed="rId70" cstate="print"/>
                          <a:stretch>
                            <a:fillRect/>
                          </a:stretch>
                        </pic:blipFill>
                        <pic:spPr>
                          <a:xfrm>
                            <a:off x="853439" y="3368039"/>
                            <a:ext cx="1682496" cy="335279"/>
                          </a:xfrm>
                          <a:prstGeom prst="rect">
                            <a:avLst/>
                          </a:prstGeom>
                        </pic:spPr>
                      </pic:pic>
                      <pic:pic>
                        <pic:nvPicPr>
                          <pic:cNvPr id="90" name="Image 90"/>
                          <pic:cNvPicPr/>
                        </pic:nvPicPr>
                        <pic:blipFill>
                          <a:blip r:embed="rId71" cstate="print"/>
                          <a:stretch>
                            <a:fillRect/>
                          </a:stretch>
                        </pic:blipFill>
                        <pic:spPr>
                          <a:xfrm>
                            <a:off x="5093208" y="3630167"/>
                            <a:ext cx="146303" cy="121920"/>
                          </a:xfrm>
                          <a:prstGeom prst="rect">
                            <a:avLst/>
                          </a:prstGeom>
                        </pic:spPr>
                      </pic:pic>
                      <pic:pic>
                        <pic:nvPicPr>
                          <pic:cNvPr id="91" name="Image 91"/>
                          <pic:cNvPicPr/>
                        </pic:nvPicPr>
                        <pic:blipFill>
                          <a:blip r:embed="rId72" cstate="print"/>
                          <a:stretch>
                            <a:fillRect/>
                          </a:stretch>
                        </pic:blipFill>
                        <pic:spPr>
                          <a:xfrm>
                            <a:off x="6800088" y="3712463"/>
                            <a:ext cx="48768" cy="33527"/>
                          </a:xfrm>
                          <a:prstGeom prst="rect">
                            <a:avLst/>
                          </a:prstGeom>
                        </pic:spPr>
                      </pic:pic>
                      <pic:pic>
                        <pic:nvPicPr>
                          <pic:cNvPr id="92" name="Image 92"/>
                          <pic:cNvPicPr/>
                        </pic:nvPicPr>
                        <pic:blipFill>
                          <a:blip r:embed="rId73" cstate="print"/>
                          <a:stretch>
                            <a:fillRect/>
                          </a:stretch>
                        </pic:blipFill>
                        <pic:spPr>
                          <a:xfrm>
                            <a:off x="5346191" y="4209287"/>
                            <a:ext cx="170687" cy="94487"/>
                          </a:xfrm>
                          <a:prstGeom prst="rect">
                            <a:avLst/>
                          </a:prstGeom>
                        </pic:spPr>
                      </pic:pic>
                      <pic:pic>
                        <pic:nvPicPr>
                          <pic:cNvPr id="93" name="Image 93"/>
                          <pic:cNvPicPr/>
                        </pic:nvPicPr>
                        <pic:blipFill>
                          <a:blip r:embed="rId74" cstate="print"/>
                          <a:stretch>
                            <a:fillRect/>
                          </a:stretch>
                        </pic:blipFill>
                        <pic:spPr>
                          <a:xfrm>
                            <a:off x="4876800" y="3468623"/>
                            <a:ext cx="926591" cy="1039367"/>
                          </a:xfrm>
                          <a:prstGeom prst="rect">
                            <a:avLst/>
                          </a:prstGeom>
                        </pic:spPr>
                      </pic:pic>
                      <pic:pic>
                        <pic:nvPicPr>
                          <pic:cNvPr id="94" name="Image 94"/>
                          <pic:cNvPicPr/>
                        </pic:nvPicPr>
                        <pic:blipFill>
                          <a:blip r:embed="rId75" cstate="print"/>
                          <a:stretch>
                            <a:fillRect/>
                          </a:stretch>
                        </pic:blipFill>
                        <pic:spPr>
                          <a:xfrm>
                            <a:off x="4700015" y="4782311"/>
                            <a:ext cx="48767" cy="36575"/>
                          </a:xfrm>
                          <a:prstGeom prst="rect">
                            <a:avLst/>
                          </a:prstGeom>
                        </pic:spPr>
                      </pic:pic>
                      <pic:pic>
                        <pic:nvPicPr>
                          <pic:cNvPr id="95" name="Image 95"/>
                          <pic:cNvPicPr/>
                        </pic:nvPicPr>
                        <pic:blipFill>
                          <a:blip r:embed="rId76" cstate="print"/>
                          <a:stretch>
                            <a:fillRect/>
                          </a:stretch>
                        </pic:blipFill>
                        <pic:spPr>
                          <a:xfrm>
                            <a:off x="3438144" y="5269991"/>
                            <a:ext cx="48767" cy="33527"/>
                          </a:xfrm>
                          <a:prstGeom prst="rect">
                            <a:avLst/>
                          </a:prstGeom>
                        </pic:spPr>
                      </pic:pic>
                      <pic:pic>
                        <pic:nvPicPr>
                          <pic:cNvPr id="96" name="Image 96"/>
                          <pic:cNvPicPr/>
                        </pic:nvPicPr>
                        <pic:blipFill>
                          <a:blip r:embed="rId77" cstate="print"/>
                          <a:stretch>
                            <a:fillRect/>
                          </a:stretch>
                        </pic:blipFill>
                        <pic:spPr>
                          <a:xfrm>
                            <a:off x="3087623" y="5998463"/>
                            <a:ext cx="48768" cy="36575"/>
                          </a:xfrm>
                          <a:prstGeom prst="rect">
                            <a:avLst/>
                          </a:prstGeom>
                        </pic:spPr>
                      </pic:pic>
                      <pic:pic>
                        <pic:nvPicPr>
                          <pic:cNvPr id="97" name="Image 97"/>
                          <pic:cNvPicPr/>
                        </pic:nvPicPr>
                        <pic:blipFill>
                          <a:blip r:embed="rId78" cstate="print"/>
                          <a:stretch>
                            <a:fillRect/>
                          </a:stretch>
                        </pic:blipFill>
                        <pic:spPr>
                          <a:xfrm>
                            <a:off x="6105144" y="7586471"/>
                            <a:ext cx="48767" cy="33527"/>
                          </a:xfrm>
                          <a:prstGeom prst="rect">
                            <a:avLst/>
                          </a:prstGeom>
                        </pic:spPr>
                      </pic:pic>
                      <pic:pic>
                        <pic:nvPicPr>
                          <pic:cNvPr id="98" name="Image 98"/>
                          <pic:cNvPicPr/>
                        </pic:nvPicPr>
                        <pic:blipFill>
                          <a:blip r:embed="rId79" cstate="print"/>
                          <a:stretch>
                            <a:fillRect/>
                          </a:stretch>
                        </pic:blipFill>
                        <pic:spPr>
                          <a:xfrm>
                            <a:off x="2276855" y="8296655"/>
                            <a:ext cx="48768" cy="33527"/>
                          </a:xfrm>
                          <a:prstGeom prst="rect">
                            <a:avLst/>
                          </a:prstGeom>
                        </pic:spPr>
                      </pic:pic>
                      <pic:pic>
                        <pic:nvPicPr>
                          <pic:cNvPr id="99" name="Image 99"/>
                          <pic:cNvPicPr/>
                        </pic:nvPicPr>
                        <pic:blipFill>
                          <a:blip r:embed="rId80" cstate="print"/>
                          <a:stretch>
                            <a:fillRect/>
                          </a:stretch>
                        </pic:blipFill>
                        <pic:spPr>
                          <a:xfrm>
                            <a:off x="6611111" y="8567927"/>
                            <a:ext cx="48768" cy="33527"/>
                          </a:xfrm>
                          <a:prstGeom prst="rect">
                            <a:avLst/>
                          </a:prstGeom>
                        </pic:spPr>
                      </pic:pic>
                      <pic:pic>
                        <pic:nvPicPr>
                          <pic:cNvPr id="100" name="Image 100"/>
                          <pic:cNvPicPr/>
                        </pic:nvPicPr>
                        <pic:blipFill>
                          <a:blip r:embed="rId81" cstate="print"/>
                          <a:stretch>
                            <a:fillRect/>
                          </a:stretch>
                        </pic:blipFill>
                        <pic:spPr>
                          <a:xfrm>
                            <a:off x="582168" y="10073640"/>
                            <a:ext cx="48768" cy="39623"/>
                          </a:xfrm>
                          <a:prstGeom prst="rect">
                            <a:avLst/>
                          </a:prstGeom>
                        </pic:spPr>
                      </pic:pic>
                      <pic:pic>
                        <pic:nvPicPr>
                          <pic:cNvPr id="101" name="Image 101"/>
                          <pic:cNvPicPr/>
                        </pic:nvPicPr>
                        <pic:blipFill>
                          <a:blip r:embed="rId82" cstate="print"/>
                          <a:stretch>
                            <a:fillRect/>
                          </a:stretch>
                        </pic:blipFill>
                        <pic:spPr>
                          <a:xfrm>
                            <a:off x="7476743" y="2468879"/>
                            <a:ext cx="82296" cy="8214359"/>
                          </a:xfrm>
                          <a:prstGeom prst="rect">
                            <a:avLst/>
                          </a:prstGeom>
                        </pic:spPr>
                      </pic:pic>
                    </wpg:wgp>
                  </a:graphicData>
                </a:graphic>
              </wp:anchor>
            </w:drawing>
          </mc:Choice>
          <mc:Fallback>
            <w:pict>
              <v:group style="position:absolute;margin-left:0pt;margin-top:0pt;width:595.2pt;height:841.95pt;mso-position-horizontal-relative:page;mso-position-vertical-relative:page;z-index:15746560" id="docshapegroup74" coordorigin="0,0" coordsize="11904,16839">
                <v:shape style="position:absolute;left:0;top:0;width:11904;height:16839" type="#_x0000_t75" id="docshape75" stroked="false">
                  <v:imagedata r:id="rId58" o:title=""/>
                </v:shape>
                <v:shape style="position:absolute;left:6868;top:5323;width:2559;height:1887" type="#_x0000_t75" id="docshape76" stroked="false">
                  <v:imagedata r:id="rId59" o:title=""/>
                </v:shape>
                <v:shape style="position:absolute;left:48;top:0;width:11856;height:63" type="#_x0000_t75" id="docshape77" stroked="false">
                  <v:imagedata r:id="rId60" o:title=""/>
                </v:shape>
                <v:shape style="position:absolute;left:648;top:398;width:116;height:125" type="#_x0000_t75" id="docshape78" stroked="false">
                  <v:imagedata r:id="rId61" o:title=""/>
                </v:shape>
                <v:shape style="position:absolute;left:1180;top:734;width:116;height:135" type="#_x0000_t75" id="docshape79" stroked="false">
                  <v:imagedata r:id="rId62" o:title=""/>
                </v:shape>
                <v:shape style="position:absolute;left:8616;top:1641;width:77;height:58" type="#_x0000_t75" id="docshape80" stroked="false">
                  <v:imagedata r:id="rId63" o:title=""/>
                </v:shape>
                <v:shape style="position:absolute;left:7862;top:1867;width:77;height:53" type="#_x0000_t75" id="docshape81" stroked="false">
                  <v:imagedata r:id="rId64" o:title=""/>
                </v:shape>
                <v:shape style="position:absolute;left:8640;top:2356;width:116;height:77" type="#_x0000_t75" id="docshape82" stroked="false">
                  <v:imagedata r:id="rId65" o:title=""/>
                </v:shape>
                <v:shape style="position:absolute;left:10588;top:3163;width:77;height:53" type="#_x0000_t75" id="docshape83" stroked="false">
                  <v:imagedata r:id="rId66" o:title=""/>
                </v:shape>
                <v:shape style="position:absolute;left:11304;top:3955;width:77;height:53" type="#_x0000_t75" id="docshape84" stroked="false">
                  <v:imagedata r:id="rId67" o:title=""/>
                </v:shape>
                <v:shape style="position:absolute;left:2040;top:2337;width:8448;height:2180" type="#_x0000_t75" id="docshape85" stroked="false">
                  <v:imagedata r:id="rId68" o:title=""/>
                </v:shape>
                <v:shape style="position:absolute;left:8980;top:4771;width:77;height:63" type="#_x0000_t75" id="docshape86" stroked="false">
                  <v:imagedata r:id="rId69" o:title=""/>
                </v:shape>
                <v:shape style="position:absolute;left:1344;top:5304;width:2650;height:528" type="#_x0000_t75" id="docshape87" stroked="false">
                  <v:imagedata r:id="rId70" o:title=""/>
                </v:shape>
                <v:shape style="position:absolute;left:8020;top:5716;width:231;height:192" type="#_x0000_t75" id="docshape88" stroked="false">
                  <v:imagedata r:id="rId71" o:title=""/>
                </v:shape>
                <v:shape style="position:absolute;left:10708;top:5846;width:77;height:53" type="#_x0000_t75" id="docshape89" stroked="false">
                  <v:imagedata r:id="rId72" o:title=""/>
                </v:shape>
                <v:shape style="position:absolute;left:8419;top:6628;width:269;height:149" type="#_x0000_t75" id="docshape90" stroked="false">
                  <v:imagedata r:id="rId73" o:title=""/>
                </v:shape>
                <v:shape style="position:absolute;left:7680;top:5462;width:1460;height:1637" type="#_x0000_t75" id="docshape91" stroked="false">
                  <v:imagedata r:id="rId74" o:title=""/>
                </v:shape>
                <v:shape style="position:absolute;left:7401;top:7531;width:77;height:58" type="#_x0000_t75" id="docshape92" stroked="false">
                  <v:imagedata r:id="rId75" o:title=""/>
                </v:shape>
                <v:shape style="position:absolute;left:5414;top:8299;width:77;height:53" type="#_x0000_t75" id="docshape93" stroked="false">
                  <v:imagedata r:id="rId76" o:title=""/>
                </v:shape>
                <v:shape style="position:absolute;left:4862;top:9446;width:77;height:58" type="#_x0000_t75" id="docshape94" stroked="false">
                  <v:imagedata r:id="rId77" o:title=""/>
                </v:shape>
                <v:shape style="position:absolute;left:9614;top:11947;width:77;height:53" type="#_x0000_t75" id="docshape95" stroked="false">
                  <v:imagedata r:id="rId78" o:title=""/>
                </v:shape>
                <v:shape style="position:absolute;left:3585;top:13065;width:77;height:53" type="#_x0000_t75" id="docshape96" stroked="false">
                  <v:imagedata r:id="rId79" o:title=""/>
                </v:shape>
                <v:shape style="position:absolute;left:10411;top:13492;width:77;height:53" type="#_x0000_t75" id="docshape97" stroked="false">
                  <v:imagedata r:id="rId80" o:title=""/>
                </v:shape>
                <v:shape style="position:absolute;left:916;top:15864;width:77;height:63" type="#_x0000_t75" id="docshape98" stroked="false">
                  <v:imagedata r:id="rId81" o:title=""/>
                </v:shape>
                <v:shape style="position:absolute;left:11774;top:3888;width:130;height:12936" type="#_x0000_t75" id="docshape99" stroked="false">
                  <v:imagedata r:id="rId82" o:title=""/>
                </v:shape>
                <w10:wrap type="none"/>
              </v:group>
            </w:pict>
          </mc:Fallback>
        </mc:AlternateContent>
      </w:r>
    </w:p>
    <w:p>
      <w:pPr>
        <w:pStyle w:val="BodyText"/>
        <w:spacing w:after="0"/>
        <w:jc w:val="left"/>
        <w:rPr>
          <w:sz w:val="17"/>
        </w:rPr>
        <w:sectPr>
          <w:footerReference w:type="default" r:id="rId57"/>
          <w:pgSz w:w="11910" w:h="16840"/>
          <w:pgMar w:header="0" w:footer="0" w:top="1920" w:bottom="280" w:left="1440" w:right="1437"/>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47072">
                <wp:simplePos x="0" y="0"/>
                <wp:positionH relativeFrom="page">
                  <wp:posOffset>0</wp:posOffset>
                </wp:positionH>
                <wp:positionV relativeFrom="page">
                  <wp:posOffset>0</wp:posOffset>
                </wp:positionV>
                <wp:extent cx="7559040" cy="1069276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559040" cy="10692765"/>
                          <a:chExt cx="7559040" cy="10692765"/>
                        </a:xfrm>
                      </wpg:grpSpPr>
                      <pic:pic>
                        <pic:nvPicPr>
                          <pic:cNvPr id="103" name="Image 103"/>
                          <pic:cNvPicPr/>
                        </pic:nvPicPr>
                        <pic:blipFill>
                          <a:blip r:embed="rId84" cstate="print"/>
                          <a:stretch>
                            <a:fillRect/>
                          </a:stretch>
                        </pic:blipFill>
                        <pic:spPr>
                          <a:xfrm>
                            <a:off x="0" y="0"/>
                            <a:ext cx="7559040" cy="10692383"/>
                          </a:xfrm>
                          <a:prstGeom prst="rect">
                            <a:avLst/>
                          </a:prstGeom>
                        </pic:spPr>
                      </pic:pic>
                      <pic:pic>
                        <pic:nvPicPr>
                          <pic:cNvPr id="104" name="Image 104"/>
                          <pic:cNvPicPr/>
                        </pic:nvPicPr>
                        <pic:blipFill>
                          <a:blip r:embed="rId85" cstate="print"/>
                          <a:stretch>
                            <a:fillRect/>
                          </a:stretch>
                        </pic:blipFill>
                        <pic:spPr>
                          <a:xfrm>
                            <a:off x="798576" y="1018031"/>
                            <a:ext cx="5900928" cy="502920"/>
                          </a:xfrm>
                          <a:prstGeom prst="rect">
                            <a:avLst/>
                          </a:prstGeom>
                        </pic:spPr>
                      </pic:pic>
                      <pic:pic>
                        <pic:nvPicPr>
                          <pic:cNvPr id="105" name="Image 105"/>
                          <pic:cNvPicPr/>
                        </pic:nvPicPr>
                        <pic:blipFill>
                          <a:blip r:embed="rId86" cstate="print"/>
                          <a:stretch>
                            <a:fillRect/>
                          </a:stretch>
                        </pic:blipFill>
                        <pic:spPr>
                          <a:xfrm>
                            <a:off x="27432" y="0"/>
                            <a:ext cx="7531608" cy="448055"/>
                          </a:xfrm>
                          <a:prstGeom prst="rect">
                            <a:avLst/>
                          </a:prstGeom>
                        </pic:spPr>
                      </pic:pic>
                      <pic:pic>
                        <pic:nvPicPr>
                          <pic:cNvPr id="106" name="Image 106"/>
                          <pic:cNvPicPr/>
                        </pic:nvPicPr>
                        <pic:blipFill>
                          <a:blip r:embed="rId87" cstate="print"/>
                          <a:stretch>
                            <a:fillRect/>
                          </a:stretch>
                        </pic:blipFill>
                        <pic:spPr>
                          <a:xfrm>
                            <a:off x="5791200" y="850391"/>
                            <a:ext cx="48767" cy="42672"/>
                          </a:xfrm>
                          <a:prstGeom prst="rect">
                            <a:avLst/>
                          </a:prstGeom>
                        </pic:spPr>
                      </pic:pic>
                      <pic:pic>
                        <pic:nvPicPr>
                          <pic:cNvPr id="107" name="Image 107"/>
                          <pic:cNvPicPr/>
                        </pic:nvPicPr>
                        <pic:blipFill>
                          <a:blip r:embed="rId88" cstate="print"/>
                          <a:stretch>
                            <a:fillRect/>
                          </a:stretch>
                        </pic:blipFill>
                        <pic:spPr>
                          <a:xfrm>
                            <a:off x="868680" y="1051559"/>
                            <a:ext cx="6608064" cy="435864"/>
                          </a:xfrm>
                          <a:prstGeom prst="rect">
                            <a:avLst/>
                          </a:prstGeom>
                        </pic:spPr>
                      </pic:pic>
                      <pic:pic>
                        <pic:nvPicPr>
                          <pic:cNvPr id="108" name="Image 108"/>
                          <pic:cNvPicPr/>
                        </pic:nvPicPr>
                        <pic:blipFill>
                          <a:blip r:embed="rId89" cstate="print"/>
                          <a:stretch>
                            <a:fillRect/>
                          </a:stretch>
                        </pic:blipFill>
                        <pic:spPr>
                          <a:xfrm>
                            <a:off x="6601968" y="3834383"/>
                            <a:ext cx="48768" cy="33527"/>
                          </a:xfrm>
                          <a:prstGeom prst="rect">
                            <a:avLst/>
                          </a:prstGeom>
                        </pic:spPr>
                      </pic:pic>
                      <pic:pic>
                        <pic:nvPicPr>
                          <pic:cNvPr id="109" name="Image 109"/>
                          <pic:cNvPicPr/>
                        </pic:nvPicPr>
                        <pic:blipFill>
                          <a:blip r:embed="rId90" cstate="print"/>
                          <a:stretch>
                            <a:fillRect/>
                          </a:stretch>
                        </pic:blipFill>
                        <pic:spPr>
                          <a:xfrm>
                            <a:off x="6580631" y="5285231"/>
                            <a:ext cx="48768" cy="33527"/>
                          </a:xfrm>
                          <a:prstGeom prst="rect">
                            <a:avLst/>
                          </a:prstGeom>
                        </pic:spPr>
                      </pic:pic>
                      <pic:pic>
                        <pic:nvPicPr>
                          <pic:cNvPr id="110" name="Image 110"/>
                          <pic:cNvPicPr/>
                        </pic:nvPicPr>
                        <pic:blipFill>
                          <a:blip r:embed="rId91" cstate="print"/>
                          <a:stretch>
                            <a:fillRect/>
                          </a:stretch>
                        </pic:blipFill>
                        <pic:spPr>
                          <a:xfrm>
                            <a:off x="7446264" y="5794247"/>
                            <a:ext cx="48768" cy="33527"/>
                          </a:xfrm>
                          <a:prstGeom prst="rect">
                            <a:avLst/>
                          </a:prstGeom>
                        </pic:spPr>
                      </pic:pic>
                      <pic:pic>
                        <pic:nvPicPr>
                          <pic:cNvPr id="111" name="Image 111"/>
                          <pic:cNvPicPr/>
                        </pic:nvPicPr>
                        <pic:blipFill>
                          <a:blip r:embed="rId92" cstate="print"/>
                          <a:stretch>
                            <a:fillRect/>
                          </a:stretch>
                        </pic:blipFill>
                        <pic:spPr>
                          <a:xfrm>
                            <a:off x="844296" y="5922263"/>
                            <a:ext cx="48768" cy="33527"/>
                          </a:xfrm>
                          <a:prstGeom prst="rect">
                            <a:avLst/>
                          </a:prstGeom>
                        </pic:spPr>
                      </pic:pic>
                      <pic:pic>
                        <pic:nvPicPr>
                          <pic:cNvPr id="112" name="Image 112"/>
                          <pic:cNvPicPr/>
                        </pic:nvPicPr>
                        <pic:blipFill>
                          <a:blip r:embed="rId93" cstate="print"/>
                          <a:stretch>
                            <a:fillRect/>
                          </a:stretch>
                        </pic:blipFill>
                        <pic:spPr>
                          <a:xfrm>
                            <a:off x="6824471" y="6147815"/>
                            <a:ext cx="48768" cy="36575"/>
                          </a:xfrm>
                          <a:prstGeom prst="rect">
                            <a:avLst/>
                          </a:prstGeom>
                        </pic:spPr>
                      </pic:pic>
                      <pic:pic>
                        <pic:nvPicPr>
                          <pic:cNvPr id="113" name="Image 113"/>
                          <pic:cNvPicPr/>
                        </pic:nvPicPr>
                        <pic:blipFill>
                          <a:blip r:embed="rId94" cstate="print"/>
                          <a:stretch>
                            <a:fillRect/>
                          </a:stretch>
                        </pic:blipFill>
                        <pic:spPr>
                          <a:xfrm>
                            <a:off x="2383535" y="6553200"/>
                            <a:ext cx="48768" cy="39624"/>
                          </a:xfrm>
                          <a:prstGeom prst="rect">
                            <a:avLst/>
                          </a:prstGeom>
                        </pic:spPr>
                      </pic:pic>
                      <pic:pic>
                        <pic:nvPicPr>
                          <pic:cNvPr id="114" name="Image 114"/>
                          <pic:cNvPicPr/>
                        </pic:nvPicPr>
                        <pic:blipFill>
                          <a:blip r:embed="rId95" cstate="print"/>
                          <a:stretch>
                            <a:fillRect/>
                          </a:stretch>
                        </pic:blipFill>
                        <pic:spPr>
                          <a:xfrm>
                            <a:off x="5306567" y="6733031"/>
                            <a:ext cx="48767" cy="33527"/>
                          </a:xfrm>
                          <a:prstGeom prst="rect">
                            <a:avLst/>
                          </a:prstGeom>
                        </pic:spPr>
                      </pic:pic>
                      <pic:pic>
                        <pic:nvPicPr>
                          <pic:cNvPr id="115" name="Image 115"/>
                          <pic:cNvPicPr/>
                        </pic:nvPicPr>
                        <pic:blipFill>
                          <a:blip r:embed="rId96" cstate="print"/>
                          <a:stretch>
                            <a:fillRect/>
                          </a:stretch>
                        </pic:blipFill>
                        <pic:spPr>
                          <a:xfrm>
                            <a:off x="6160008" y="6781800"/>
                            <a:ext cx="48767" cy="33527"/>
                          </a:xfrm>
                          <a:prstGeom prst="rect">
                            <a:avLst/>
                          </a:prstGeom>
                        </pic:spPr>
                      </pic:pic>
                      <pic:pic>
                        <pic:nvPicPr>
                          <pic:cNvPr id="116" name="Image 116"/>
                          <pic:cNvPicPr/>
                        </pic:nvPicPr>
                        <pic:blipFill>
                          <a:blip r:embed="rId97" cstate="print"/>
                          <a:stretch>
                            <a:fillRect/>
                          </a:stretch>
                        </pic:blipFill>
                        <pic:spPr>
                          <a:xfrm>
                            <a:off x="3560064" y="8168640"/>
                            <a:ext cx="73151" cy="42672"/>
                          </a:xfrm>
                          <a:prstGeom prst="rect">
                            <a:avLst/>
                          </a:prstGeom>
                        </pic:spPr>
                      </pic:pic>
                      <pic:pic>
                        <pic:nvPicPr>
                          <pic:cNvPr id="117" name="Image 117"/>
                          <pic:cNvPicPr/>
                        </pic:nvPicPr>
                        <pic:blipFill>
                          <a:blip r:embed="rId98" cstate="print"/>
                          <a:stretch>
                            <a:fillRect/>
                          </a:stretch>
                        </pic:blipFill>
                        <pic:spPr>
                          <a:xfrm>
                            <a:off x="5727191" y="9183623"/>
                            <a:ext cx="48767" cy="33528"/>
                          </a:xfrm>
                          <a:prstGeom prst="rect">
                            <a:avLst/>
                          </a:prstGeom>
                        </pic:spPr>
                      </pic:pic>
                      <pic:pic>
                        <pic:nvPicPr>
                          <pic:cNvPr id="118" name="Image 118"/>
                          <pic:cNvPicPr/>
                        </pic:nvPicPr>
                        <pic:blipFill>
                          <a:blip r:embed="rId99" cstate="print"/>
                          <a:stretch>
                            <a:fillRect/>
                          </a:stretch>
                        </pic:blipFill>
                        <pic:spPr>
                          <a:xfrm>
                            <a:off x="847344" y="1859279"/>
                            <a:ext cx="5779008" cy="7650480"/>
                          </a:xfrm>
                          <a:prstGeom prst="rect">
                            <a:avLst/>
                          </a:prstGeom>
                        </pic:spPr>
                      </pic:pic>
                      <pic:pic>
                        <pic:nvPicPr>
                          <pic:cNvPr id="119" name="Image 119"/>
                          <pic:cNvPicPr/>
                        </pic:nvPicPr>
                        <pic:blipFill>
                          <a:blip r:embed="rId100" cstate="print"/>
                          <a:stretch>
                            <a:fillRect/>
                          </a:stretch>
                        </pic:blipFill>
                        <pic:spPr>
                          <a:xfrm>
                            <a:off x="7479792" y="2651759"/>
                            <a:ext cx="79248" cy="8040624"/>
                          </a:xfrm>
                          <a:prstGeom prst="rect">
                            <a:avLst/>
                          </a:prstGeom>
                        </pic:spPr>
                      </pic:pic>
                    </wpg:wgp>
                  </a:graphicData>
                </a:graphic>
              </wp:anchor>
            </w:drawing>
          </mc:Choice>
          <mc:Fallback>
            <w:pict>
              <v:group style="position:absolute;margin-left:0pt;margin-top:0pt;width:595.2pt;height:841.95pt;mso-position-horizontal-relative:page;mso-position-vertical-relative:page;z-index:15747072" id="docshapegroup100" coordorigin="0,0" coordsize="11904,16839">
                <v:shape style="position:absolute;left:0;top:0;width:11904;height:16839" type="#_x0000_t75" id="docshape101" stroked="false">
                  <v:imagedata r:id="rId84" o:title=""/>
                </v:shape>
                <v:shape style="position:absolute;left:1257;top:1603;width:9293;height:792" type="#_x0000_t75" id="docshape102" stroked="false">
                  <v:imagedata r:id="rId85" o:title=""/>
                </v:shape>
                <v:shape style="position:absolute;left:43;top:0;width:11861;height:706" type="#_x0000_t75" id="docshape103" stroked="false">
                  <v:imagedata r:id="rId86" o:title=""/>
                </v:shape>
                <v:shape style="position:absolute;left:9120;top:1339;width:77;height:68" type="#_x0000_t75" id="docshape104" stroked="false">
                  <v:imagedata r:id="rId87" o:title=""/>
                </v:shape>
                <v:shape style="position:absolute;left:1368;top:1656;width:10407;height:687" type="#_x0000_t75" id="docshape105" stroked="false">
                  <v:imagedata r:id="rId88" o:title=""/>
                </v:shape>
                <v:shape style="position:absolute;left:10396;top:6038;width:77;height:53" type="#_x0000_t75" id="docshape106" stroked="false">
                  <v:imagedata r:id="rId89" o:title=""/>
                </v:shape>
                <v:shape style="position:absolute;left:10363;top:8323;width:77;height:53" type="#_x0000_t75" id="docshape107" stroked="false">
                  <v:imagedata r:id="rId90" o:title=""/>
                </v:shape>
                <v:shape style="position:absolute;left:11726;top:9124;width:77;height:53" type="#_x0000_t75" id="docshape108" stroked="false">
                  <v:imagedata r:id="rId91" o:title=""/>
                </v:shape>
                <v:shape style="position:absolute;left:1329;top:9326;width:77;height:53" type="#_x0000_t75" id="docshape109" stroked="false">
                  <v:imagedata r:id="rId92" o:title=""/>
                </v:shape>
                <v:shape style="position:absolute;left:10747;top:9681;width:77;height:58" type="#_x0000_t75" id="docshape110" stroked="false">
                  <v:imagedata r:id="rId93" o:title=""/>
                </v:shape>
                <v:shape style="position:absolute;left:3753;top:10320;width:77;height:63" type="#_x0000_t75" id="docshape111" stroked="false">
                  <v:imagedata r:id="rId94" o:title=""/>
                </v:shape>
                <v:shape style="position:absolute;left:8356;top:10603;width:77;height:53" type="#_x0000_t75" id="docshape112" stroked="false">
                  <v:imagedata r:id="rId95" o:title=""/>
                </v:shape>
                <v:shape style="position:absolute;left:9700;top:10680;width:77;height:53" type="#_x0000_t75" id="docshape113" stroked="false">
                  <v:imagedata r:id="rId96" o:title=""/>
                </v:shape>
                <v:shape style="position:absolute;left:5606;top:12864;width:116;height:68" type="#_x0000_t75" id="docshape114" stroked="false">
                  <v:imagedata r:id="rId97" o:title=""/>
                </v:shape>
                <v:shape style="position:absolute;left:9019;top:14462;width:77;height:53" type="#_x0000_t75" id="docshape115" stroked="false">
                  <v:imagedata r:id="rId98" o:title=""/>
                </v:shape>
                <v:shape style="position:absolute;left:1334;top:2928;width:9101;height:12048" type="#_x0000_t75" id="docshape116" stroked="false">
                  <v:imagedata r:id="rId99" o:title=""/>
                </v:shape>
                <v:shape style="position:absolute;left:11779;top:4176;width:125;height:12663" type="#_x0000_t75" id="docshape117" stroked="false">
                  <v:imagedata r:id="rId100" o:title=""/>
                </v:shape>
                <w10:wrap type="none"/>
              </v:group>
            </w:pict>
          </mc:Fallback>
        </mc:AlternateContent>
      </w:r>
    </w:p>
    <w:p>
      <w:pPr>
        <w:pStyle w:val="BodyText"/>
        <w:spacing w:after="0"/>
        <w:jc w:val="left"/>
        <w:rPr>
          <w:sz w:val="17"/>
        </w:rPr>
        <w:sectPr>
          <w:footerReference w:type="default" r:id="rId83"/>
          <w:pgSz w:w="11910" w:h="16840"/>
          <w:pgMar w:header="0" w:footer="0" w:top="1920" w:bottom="280" w:left="1440" w:right="1437"/>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47584">
                <wp:simplePos x="0" y="0"/>
                <wp:positionH relativeFrom="page">
                  <wp:posOffset>0</wp:posOffset>
                </wp:positionH>
                <wp:positionV relativeFrom="page">
                  <wp:posOffset>0</wp:posOffset>
                </wp:positionV>
                <wp:extent cx="7559040" cy="10692765"/>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7559040" cy="10692765"/>
                          <a:chExt cx="7559040" cy="10692765"/>
                        </a:xfrm>
                      </wpg:grpSpPr>
                      <pic:pic>
                        <pic:nvPicPr>
                          <pic:cNvPr id="121" name="Image 121"/>
                          <pic:cNvPicPr/>
                        </pic:nvPicPr>
                        <pic:blipFill>
                          <a:blip r:embed="rId102" cstate="print"/>
                          <a:stretch>
                            <a:fillRect/>
                          </a:stretch>
                        </pic:blipFill>
                        <pic:spPr>
                          <a:xfrm>
                            <a:off x="0" y="0"/>
                            <a:ext cx="7559040" cy="10692383"/>
                          </a:xfrm>
                          <a:prstGeom prst="rect">
                            <a:avLst/>
                          </a:prstGeom>
                        </pic:spPr>
                      </pic:pic>
                      <pic:pic>
                        <pic:nvPicPr>
                          <pic:cNvPr id="122" name="Image 122"/>
                          <pic:cNvPicPr/>
                        </pic:nvPicPr>
                        <pic:blipFill>
                          <a:blip r:embed="rId103" cstate="print"/>
                          <a:stretch>
                            <a:fillRect/>
                          </a:stretch>
                        </pic:blipFill>
                        <pic:spPr>
                          <a:xfrm>
                            <a:off x="4169664" y="3672839"/>
                            <a:ext cx="1840991" cy="914400"/>
                          </a:xfrm>
                          <a:prstGeom prst="rect">
                            <a:avLst/>
                          </a:prstGeom>
                        </pic:spPr>
                      </pic:pic>
                      <pic:pic>
                        <pic:nvPicPr>
                          <pic:cNvPr id="123" name="Image 123"/>
                          <pic:cNvPicPr/>
                        </pic:nvPicPr>
                        <pic:blipFill>
                          <a:blip r:embed="rId104" cstate="print"/>
                          <a:stretch>
                            <a:fillRect/>
                          </a:stretch>
                        </pic:blipFill>
                        <pic:spPr>
                          <a:xfrm>
                            <a:off x="2593848" y="0"/>
                            <a:ext cx="48768" cy="24383"/>
                          </a:xfrm>
                          <a:prstGeom prst="rect">
                            <a:avLst/>
                          </a:prstGeom>
                        </pic:spPr>
                      </pic:pic>
                      <pic:pic>
                        <pic:nvPicPr>
                          <pic:cNvPr id="124" name="Image 124"/>
                          <pic:cNvPicPr/>
                        </pic:nvPicPr>
                        <pic:blipFill>
                          <a:blip r:embed="rId105" cstate="print"/>
                          <a:stretch>
                            <a:fillRect/>
                          </a:stretch>
                        </pic:blipFill>
                        <pic:spPr>
                          <a:xfrm>
                            <a:off x="2734055" y="0"/>
                            <a:ext cx="4824984" cy="39623"/>
                          </a:xfrm>
                          <a:prstGeom prst="rect">
                            <a:avLst/>
                          </a:prstGeom>
                        </pic:spPr>
                      </pic:pic>
                      <pic:pic>
                        <pic:nvPicPr>
                          <pic:cNvPr id="125" name="Image 125"/>
                          <pic:cNvPicPr/>
                        </pic:nvPicPr>
                        <pic:blipFill>
                          <a:blip r:embed="rId106" cstate="print"/>
                          <a:stretch>
                            <a:fillRect/>
                          </a:stretch>
                        </pic:blipFill>
                        <pic:spPr>
                          <a:xfrm>
                            <a:off x="21335" y="0"/>
                            <a:ext cx="48767" cy="27431"/>
                          </a:xfrm>
                          <a:prstGeom prst="rect">
                            <a:avLst/>
                          </a:prstGeom>
                        </pic:spPr>
                      </pic:pic>
                      <pic:pic>
                        <pic:nvPicPr>
                          <pic:cNvPr id="126" name="Image 126"/>
                          <pic:cNvPicPr/>
                        </pic:nvPicPr>
                        <pic:blipFill>
                          <a:blip r:embed="rId107" cstate="print"/>
                          <a:stretch>
                            <a:fillRect/>
                          </a:stretch>
                        </pic:blipFill>
                        <pic:spPr>
                          <a:xfrm>
                            <a:off x="256031" y="143255"/>
                            <a:ext cx="97536" cy="79248"/>
                          </a:xfrm>
                          <a:prstGeom prst="rect">
                            <a:avLst/>
                          </a:prstGeom>
                        </pic:spPr>
                      </pic:pic>
                      <pic:pic>
                        <pic:nvPicPr>
                          <pic:cNvPr id="127" name="Image 127"/>
                          <pic:cNvPicPr/>
                        </pic:nvPicPr>
                        <pic:blipFill>
                          <a:blip r:embed="rId108" cstate="print"/>
                          <a:stretch>
                            <a:fillRect/>
                          </a:stretch>
                        </pic:blipFill>
                        <pic:spPr>
                          <a:xfrm>
                            <a:off x="597408" y="365759"/>
                            <a:ext cx="73151" cy="76200"/>
                          </a:xfrm>
                          <a:prstGeom prst="rect">
                            <a:avLst/>
                          </a:prstGeom>
                        </pic:spPr>
                      </pic:pic>
                      <pic:pic>
                        <pic:nvPicPr>
                          <pic:cNvPr id="128" name="Image 128"/>
                          <pic:cNvPicPr/>
                        </pic:nvPicPr>
                        <pic:blipFill>
                          <a:blip r:embed="rId109" cstate="print"/>
                          <a:stretch>
                            <a:fillRect/>
                          </a:stretch>
                        </pic:blipFill>
                        <pic:spPr>
                          <a:xfrm>
                            <a:off x="3694176" y="597407"/>
                            <a:ext cx="121920" cy="140207"/>
                          </a:xfrm>
                          <a:prstGeom prst="rect">
                            <a:avLst/>
                          </a:prstGeom>
                        </pic:spPr>
                      </pic:pic>
                      <pic:pic>
                        <pic:nvPicPr>
                          <pic:cNvPr id="129" name="Image 129"/>
                          <pic:cNvPicPr/>
                        </pic:nvPicPr>
                        <pic:blipFill>
                          <a:blip r:embed="rId110" cstate="print"/>
                          <a:stretch>
                            <a:fillRect/>
                          </a:stretch>
                        </pic:blipFill>
                        <pic:spPr>
                          <a:xfrm>
                            <a:off x="3660647" y="853439"/>
                            <a:ext cx="48767" cy="36575"/>
                          </a:xfrm>
                          <a:prstGeom prst="rect">
                            <a:avLst/>
                          </a:prstGeom>
                        </pic:spPr>
                      </pic:pic>
                      <pic:pic>
                        <pic:nvPicPr>
                          <pic:cNvPr id="130" name="Image 130"/>
                          <pic:cNvPicPr/>
                        </pic:nvPicPr>
                        <pic:blipFill>
                          <a:blip r:embed="rId111" cstate="print"/>
                          <a:stretch>
                            <a:fillRect/>
                          </a:stretch>
                        </pic:blipFill>
                        <pic:spPr>
                          <a:xfrm>
                            <a:off x="5056632" y="862583"/>
                            <a:ext cx="48767" cy="45720"/>
                          </a:xfrm>
                          <a:prstGeom prst="rect">
                            <a:avLst/>
                          </a:prstGeom>
                        </pic:spPr>
                      </pic:pic>
                      <pic:pic>
                        <pic:nvPicPr>
                          <pic:cNvPr id="131" name="Image 131"/>
                          <pic:cNvPicPr/>
                        </pic:nvPicPr>
                        <pic:blipFill>
                          <a:blip r:embed="rId112" cstate="print"/>
                          <a:stretch>
                            <a:fillRect/>
                          </a:stretch>
                        </pic:blipFill>
                        <pic:spPr>
                          <a:xfrm>
                            <a:off x="6327647" y="978407"/>
                            <a:ext cx="48767" cy="36575"/>
                          </a:xfrm>
                          <a:prstGeom prst="rect">
                            <a:avLst/>
                          </a:prstGeom>
                        </pic:spPr>
                      </pic:pic>
                      <pic:pic>
                        <pic:nvPicPr>
                          <pic:cNvPr id="132" name="Image 132"/>
                          <pic:cNvPicPr/>
                        </pic:nvPicPr>
                        <pic:blipFill>
                          <a:blip r:embed="rId113" cstate="print"/>
                          <a:stretch>
                            <a:fillRect/>
                          </a:stretch>
                        </pic:blipFill>
                        <pic:spPr>
                          <a:xfrm>
                            <a:off x="5666232" y="1648967"/>
                            <a:ext cx="48767" cy="36575"/>
                          </a:xfrm>
                          <a:prstGeom prst="rect">
                            <a:avLst/>
                          </a:prstGeom>
                        </pic:spPr>
                      </pic:pic>
                      <pic:pic>
                        <pic:nvPicPr>
                          <pic:cNvPr id="133" name="Image 133"/>
                          <pic:cNvPicPr/>
                        </pic:nvPicPr>
                        <pic:blipFill>
                          <a:blip r:embed="rId114" cstate="print"/>
                          <a:stretch>
                            <a:fillRect/>
                          </a:stretch>
                        </pic:blipFill>
                        <pic:spPr>
                          <a:xfrm>
                            <a:off x="3953255" y="2130551"/>
                            <a:ext cx="48767" cy="36575"/>
                          </a:xfrm>
                          <a:prstGeom prst="rect">
                            <a:avLst/>
                          </a:prstGeom>
                        </pic:spPr>
                      </pic:pic>
                      <pic:pic>
                        <pic:nvPicPr>
                          <pic:cNvPr id="134" name="Image 134"/>
                          <pic:cNvPicPr/>
                        </pic:nvPicPr>
                        <pic:blipFill>
                          <a:blip r:embed="rId115" cstate="print"/>
                          <a:stretch>
                            <a:fillRect/>
                          </a:stretch>
                        </pic:blipFill>
                        <pic:spPr>
                          <a:xfrm>
                            <a:off x="6010655" y="2557271"/>
                            <a:ext cx="48767" cy="33527"/>
                          </a:xfrm>
                          <a:prstGeom prst="rect">
                            <a:avLst/>
                          </a:prstGeom>
                        </pic:spPr>
                      </pic:pic>
                      <pic:pic>
                        <pic:nvPicPr>
                          <pic:cNvPr id="135" name="Image 135"/>
                          <pic:cNvPicPr/>
                        </pic:nvPicPr>
                        <pic:blipFill>
                          <a:blip r:embed="rId116" cstate="print"/>
                          <a:stretch>
                            <a:fillRect/>
                          </a:stretch>
                        </pic:blipFill>
                        <pic:spPr>
                          <a:xfrm>
                            <a:off x="3721608" y="2996183"/>
                            <a:ext cx="48767" cy="39624"/>
                          </a:xfrm>
                          <a:prstGeom prst="rect">
                            <a:avLst/>
                          </a:prstGeom>
                        </pic:spPr>
                      </pic:pic>
                      <pic:pic>
                        <pic:nvPicPr>
                          <pic:cNvPr id="136" name="Image 136"/>
                          <pic:cNvPicPr/>
                        </pic:nvPicPr>
                        <pic:blipFill>
                          <a:blip r:embed="rId117" cstate="print"/>
                          <a:stretch>
                            <a:fillRect/>
                          </a:stretch>
                        </pic:blipFill>
                        <pic:spPr>
                          <a:xfrm>
                            <a:off x="871727" y="1237487"/>
                            <a:ext cx="5754624" cy="2831592"/>
                          </a:xfrm>
                          <a:prstGeom prst="rect">
                            <a:avLst/>
                          </a:prstGeom>
                        </pic:spPr>
                      </pic:pic>
                      <pic:pic>
                        <pic:nvPicPr>
                          <pic:cNvPr id="137" name="Image 137"/>
                          <pic:cNvPicPr/>
                        </pic:nvPicPr>
                        <pic:blipFill>
                          <a:blip r:embed="rId118" cstate="print"/>
                          <a:stretch>
                            <a:fillRect/>
                          </a:stretch>
                        </pic:blipFill>
                        <pic:spPr>
                          <a:xfrm>
                            <a:off x="2852927" y="4236719"/>
                            <a:ext cx="48768" cy="36575"/>
                          </a:xfrm>
                          <a:prstGeom prst="rect">
                            <a:avLst/>
                          </a:prstGeom>
                        </pic:spPr>
                      </pic:pic>
                      <pic:pic>
                        <pic:nvPicPr>
                          <pic:cNvPr id="138" name="Image 138"/>
                          <pic:cNvPicPr/>
                        </pic:nvPicPr>
                        <pic:blipFill>
                          <a:blip r:embed="rId119" cstate="print"/>
                          <a:stretch>
                            <a:fillRect/>
                          </a:stretch>
                        </pic:blipFill>
                        <pic:spPr>
                          <a:xfrm>
                            <a:off x="4852415" y="3761231"/>
                            <a:ext cx="999743" cy="1112519"/>
                          </a:xfrm>
                          <a:prstGeom prst="rect">
                            <a:avLst/>
                          </a:prstGeom>
                        </pic:spPr>
                      </pic:pic>
                      <pic:pic>
                        <pic:nvPicPr>
                          <pic:cNvPr id="139" name="Image 139"/>
                          <pic:cNvPicPr/>
                        </pic:nvPicPr>
                        <pic:blipFill>
                          <a:blip r:embed="rId120" cstate="print"/>
                          <a:stretch>
                            <a:fillRect/>
                          </a:stretch>
                        </pic:blipFill>
                        <pic:spPr>
                          <a:xfrm>
                            <a:off x="4840223" y="4538471"/>
                            <a:ext cx="292608" cy="207263"/>
                          </a:xfrm>
                          <a:prstGeom prst="rect">
                            <a:avLst/>
                          </a:prstGeom>
                        </pic:spPr>
                      </pic:pic>
                      <pic:pic>
                        <pic:nvPicPr>
                          <pic:cNvPr id="140" name="Image 140"/>
                          <pic:cNvPicPr/>
                        </pic:nvPicPr>
                        <pic:blipFill>
                          <a:blip r:embed="rId121" cstate="print"/>
                          <a:stretch>
                            <a:fillRect/>
                          </a:stretch>
                        </pic:blipFill>
                        <pic:spPr>
                          <a:xfrm>
                            <a:off x="4349496" y="5227319"/>
                            <a:ext cx="48767" cy="33527"/>
                          </a:xfrm>
                          <a:prstGeom prst="rect">
                            <a:avLst/>
                          </a:prstGeom>
                        </pic:spPr>
                      </pic:pic>
                      <pic:pic>
                        <pic:nvPicPr>
                          <pic:cNvPr id="141" name="Image 141"/>
                          <pic:cNvPicPr/>
                        </pic:nvPicPr>
                        <pic:blipFill>
                          <a:blip r:embed="rId122" cstate="print"/>
                          <a:stretch>
                            <a:fillRect/>
                          </a:stretch>
                        </pic:blipFill>
                        <pic:spPr>
                          <a:xfrm>
                            <a:off x="4834128" y="5407151"/>
                            <a:ext cx="48767" cy="33527"/>
                          </a:xfrm>
                          <a:prstGeom prst="rect">
                            <a:avLst/>
                          </a:prstGeom>
                        </pic:spPr>
                      </pic:pic>
                      <pic:pic>
                        <pic:nvPicPr>
                          <pic:cNvPr id="142" name="Image 142"/>
                          <pic:cNvPicPr/>
                        </pic:nvPicPr>
                        <pic:blipFill>
                          <a:blip r:embed="rId123" cstate="print"/>
                          <a:stretch>
                            <a:fillRect/>
                          </a:stretch>
                        </pic:blipFill>
                        <pic:spPr>
                          <a:xfrm>
                            <a:off x="3410711" y="5702807"/>
                            <a:ext cx="48767" cy="36575"/>
                          </a:xfrm>
                          <a:prstGeom prst="rect">
                            <a:avLst/>
                          </a:prstGeom>
                        </pic:spPr>
                      </pic:pic>
                      <pic:pic>
                        <pic:nvPicPr>
                          <pic:cNvPr id="143" name="Image 143"/>
                          <pic:cNvPicPr/>
                        </pic:nvPicPr>
                        <pic:blipFill>
                          <a:blip r:embed="rId124" cstate="print"/>
                          <a:stretch>
                            <a:fillRect/>
                          </a:stretch>
                        </pic:blipFill>
                        <pic:spPr>
                          <a:xfrm>
                            <a:off x="4114800" y="6071615"/>
                            <a:ext cx="48767" cy="39624"/>
                          </a:xfrm>
                          <a:prstGeom prst="rect">
                            <a:avLst/>
                          </a:prstGeom>
                        </pic:spPr>
                      </pic:pic>
                      <pic:pic>
                        <pic:nvPicPr>
                          <pic:cNvPr id="144" name="Image 144"/>
                          <pic:cNvPicPr/>
                        </pic:nvPicPr>
                        <pic:blipFill>
                          <a:blip r:embed="rId125" cstate="print"/>
                          <a:stretch>
                            <a:fillRect/>
                          </a:stretch>
                        </pic:blipFill>
                        <pic:spPr>
                          <a:xfrm>
                            <a:off x="7092695" y="7348727"/>
                            <a:ext cx="48768" cy="33527"/>
                          </a:xfrm>
                          <a:prstGeom prst="rect">
                            <a:avLst/>
                          </a:prstGeom>
                        </pic:spPr>
                      </pic:pic>
                      <pic:pic>
                        <pic:nvPicPr>
                          <pic:cNvPr id="145" name="Image 145"/>
                          <pic:cNvPicPr/>
                        </pic:nvPicPr>
                        <pic:blipFill>
                          <a:blip r:embed="rId126" cstate="print"/>
                          <a:stretch>
                            <a:fillRect/>
                          </a:stretch>
                        </pic:blipFill>
                        <pic:spPr>
                          <a:xfrm>
                            <a:off x="1914144" y="7467600"/>
                            <a:ext cx="48768" cy="33527"/>
                          </a:xfrm>
                          <a:prstGeom prst="rect">
                            <a:avLst/>
                          </a:prstGeom>
                        </pic:spPr>
                      </pic:pic>
                      <pic:pic>
                        <pic:nvPicPr>
                          <pic:cNvPr id="146" name="Image 146"/>
                          <pic:cNvPicPr/>
                        </pic:nvPicPr>
                        <pic:blipFill>
                          <a:blip r:embed="rId127" cstate="print"/>
                          <a:stretch>
                            <a:fillRect/>
                          </a:stretch>
                        </pic:blipFill>
                        <pic:spPr>
                          <a:xfrm>
                            <a:off x="545591" y="7485888"/>
                            <a:ext cx="48767" cy="45719"/>
                          </a:xfrm>
                          <a:prstGeom prst="rect">
                            <a:avLst/>
                          </a:prstGeom>
                        </pic:spPr>
                      </pic:pic>
                      <pic:pic>
                        <pic:nvPicPr>
                          <pic:cNvPr id="147" name="Image 147"/>
                          <pic:cNvPicPr/>
                        </pic:nvPicPr>
                        <pic:blipFill>
                          <a:blip r:embed="rId128" cstate="print"/>
                          <a:stretch>
                            <a:fillRect/>
                          </a:stretch>
                        </pic:blipFill>
                        <pic:spPr>
                          <a:xfrm>
                            <a:off x="5428488" y="7540752"/>
                            <a:ext cx="48767" cy="36575"/>
                          </a:xfrm>
                          <a:prstGeom prst="rect">
                            <a:avLst/>
                          </a:prstGeom>
                        </pic:spPr>
                      </pic:pic>
                      <pic:pic>
                        <pic:nvPicPr>
                          <pic:cNvPr id="148" name="Image 148"/>
                          <pic:cNvPicPr/>
                        </pic:nvPicPr>
                        <pic:blipFill>
                          <a:blip r:embed="rId129" cstate="print"/>
                          <a:stretch>
                            <a:fillRect/>
                          </a:stretch>
                        </pic:blipFill>
                        <pic:spPr>
                          <a:xfrm>
                            <a:off x="4587240" y="8174735"/>
                            <a:ext cx="48767" cy="36575"/>
                          </a:xfrm>
                          <a:prstGeom prst="rect">
                            <a:avLst/>
                          </a:prstGeom>
                        </pic:spPr>
                      </pic:pic>
                      <pic:pic>
                        <pic:nvPicPr>
                          <pic:cNvPr id="149" name="Image 149"/>
                          <pic:cNvPicPr/>
                        </pic:nvPicPr>
                        <pic:blipFill>
                          <a:blip r:embed="rId130" cstate="print"/>
                          <a:stretch>
                            <a:fillRect/>
                          </a:stretch>
                        </pic:blipFill>
                        <pic:spPr>
                          <a:xfrm>
                            <a:off x="5989320" y="9512807"/>
                            <a:ext cx="48767" cy="33528"/>
                          </a:xfrm>
                          <a:prstGeom prst="rect">
                            <a:avLst/>
                          </a:prstGeom>
                        </pic:spPr>
                      </pic:pic>
                      <pic:pic>
                        <pic:nvPicPr>
                          <pic:cNvPr id="150" name="Image 150"/>
                          <pic:cNvPicPr/>
                        </pic:nvPicPr>
                        <pic:blipFill>
                          <a:blip r:embed="rId131" cstate="print"/>
                          <a:stretch>
                            <a:fillRect/>
                          </a:stretch>
                        </pic:blipFill>
                        <pic:spPr>
                          <a:xfrm>
                            <a:off x="5023103" y="9564623"/>
                            <a:ext cx="48767" cy="42671"/>
                          </a:xfrm>
                          <a:prstGeom prst="rect">
                            <a:avLst/>
                          </a:prstGeom>
                        </pic:spPr>
                      </pic:pic>
                      <pic:pic>
                        <pic:nvPicPr>
                          <pic:cNvPr id="151" name="Image 151"/>
                          <pic:cNvPicPr/>
                        </pic:nvPicPr>
                        <pic:blipFill>
                          <a:blip r:embed="rId132" cstate="print"/>
                          <a:stretch>
                            <a:fillRect/>
                          </a:stretch>
                        </pic:blipFill>
                        <pic:spPr>
                          <a:xfrm>
                            <a:off x="4416552" y="10021823"/>
                            <a:ext cx="48767" cy="33528"/>
                          </a:xfrm>
                          <a:prstGeom prst="rect">
                            <a:avLst/>
                          </a:prstGeom>
                        </pic:spPr>
                      </pic:pic>
                      <pic:pic>
                        <pic:nvPicPr>
                          <pic:cNvPr id="152" name="Image 152"/>
                          <pic:cNvPicPr/>
                        </pic:nvPicPr>
                        <pic:blipFill>
                          <a:blip r:embed="rId133" cstate="print"/>
                          <a:stretch>
                            <a:fillRect/>
                          </a:stretch>
                        </pic:blipFill>
                        <pic:spPr>
                          <a:xfrm>
                            <a:off x="1173480" y="10308335"/>
                            <a:ext cx="48768" cy="39624"/>
                          </a:xfrm>
                          <a:prstGeom prst="rect">
                            <a:avLst/>
                          </a:prstGeom>
                        </pic:spPr>
                      </pic:pic>
                      <pic:pic>
                        <pic:nvPicPr>
                          <pic:cNvPr id="153" name="Image 153"/>
                          <pic:cNvPicPr/>
                        </pic:nvPicPr>
                        <pic:blipFill>
                          <a:blip r:embed="rId134" cstate="print"/>
                          <a:stretch>
                            <a:fillRect/>
                          </a:stretch>
                        </pic:blipFill>
                        <pic:spPr>
                          <a:xfrm>
                            <a:off x="7482840" y="3258311"/>
                            <a:ext cx="76200" cy="7427976"/>
                          </a:xfrm>
                          <a:prstGeom prst="rect">
                            <a:avLst/>
                          </a:prstGeom>
                        </pic:spPr>
                      </pic:pic>
                    </wpg:wgp>
                  </a:graphicData>
                </a:graphic>
              </wp:anchor>
            </w:drawing>
          </mc:Choice>
          <mc:Fallback>
            <w:pict>
              <v:group style="position:absolute;margin-left:0pt;margin-top:0pt;width:595.2pt;height:841.95pt;mso-position-horizontal-relative:page;mso-position-vertical-relative:page;z-index:15747584" id="docshapegroup118" coordorigin="0,0" coordsize="11904,16839">
                <v:shape style="position:absolute;left:0;top:0;width:11904;height:16839" type="#_x0000_t75" id="docshape119" stroked="false">
                  <v:imagedata r:id="rId102" o:title=""/>
                </v:shape>
                <v:shape style="position:absolute;left:6566;top:5784;width:2900;height:1440" type="#_x0000_t75" id="docshape120" stroked="false">
                  <v:imagedata r:id="rId103" o:title=""/>
                </v:shape>
                <v:shape style="position:absolute;left:4084;top:0;width:77;height:39" type="#_x0000_t75" id="docshape121" stroked="false">
                  <v:imagedata r:id="rId104" o:title=""/>
                </v:shape>
                <v:shape style="position:absolute;left:4305;top:0;width:7599;height:63" type="#_x0000_t75" id="docshape122" stroked="false">
                  <v:imagedata r:id="rId105" o:title=""/>
                </v:shape>
                <v:shape style="position:absolute;left:33;top:0;width:77;height:44" type="#_x0000_t75" id="docshape123" stroked="false">
                  <v:imagedata r:id="rId106" o:title=""/>
                </v:shape>
                <v:shape style="position:absolute;left:403;top:225;width:154;height:125" type="#_x0000_t75" id="docshape124" stroked="false">
                  <v:imagedata r:id="rId107" o:title=""/>
                </v:shape>
                <v:shape style="position:absolute;left:940;top:576;width:116;height:120" type="#_x0000_t75" id="docshape125" stroked="false">
                  <v:imagedata r:id="rId108" o:title=""/>
                </v:shape>
                <v:shape style="position:absolute;left:5817;top:940;width:192;height:221" type="#_x0000_t75" id="docshape126" stroked="false">
                  <v:imagedata r:id="rId109" o:title=""/>
                </v:shape>
                <v:shape style="position:absolute;left:5764;top:1344;width:77;height:58" type="#_x0000_t75" id="docshape127" stroked="false">
                  <v:imagedata r:id="rId110" o:title=""/>
                </v:shape>
                <v:shape style="position:absolute;left:7963;top:1358;width:77;height:72" type="#_x0000_t75" id="docshape128" stroked="false">
                  <v:imagedata r:id="rId111" o:title=""/>
                </v:shape>
                <v:shape style="position:absolute;left:9964;top:1540;width:77;height:58" type="#_x0000_t75" id="docshape129" stroked="false">
                  <v:imagedata r:id="rId112" o:title=""/>
                </v:shape>
                <v:shape style="position:absolute;left:8923;top:2596;width:77;height:58" type="#_x0000_t75" id="docshape130" stroked="false">
                  <v:imagedata r:id="rId113" o:title=""/>
                </v:shape>
                <v:shape style="position:absolute;left:6225;top:3355;width:77;height:58" type="#_x0000_t75" id="docshape131" stroked="false">
                  <v:imagedata r:id="rId114" o:title=""/>
                </v:shape>
                <v:shape style="position:absolute;left:9465;top:4027;width:77;height:53" type="#_x0000_t75" id="docshape132" stroked="false">
                  <v:imagedata r:id="rId115" o:title=""/>
                </v:shape>
                <v:shape style="position:absolute;left:5860;top:4718;width:77;height:63" type="#_x0000_t75" id="docshape133" stroked="false">
                  <v:imagedata r:id="rId116" o:title=""/>
                </v:shape>
                <v:shape style="position:absolute;left:1372;top:1948;width:9063;height:4460" type="#_x0000_t75" id="docshape134" stroked="false">
                  <v:imagedata r:id="rId117" o:title=""/>
                </v:shape>
                <v:shape style="position:absolute;left:4492;top:6672;width:77;height:58" type="#_x0000_t75" id="docshape135" stroked="false">
                  <v:imagedata r:id="rId118" o:title=""/>
                </v:shape>
                <v:shape style="position:absolute;left:7641;top:5923;width:1575;height:1752" type="#_x0000_t75" id="docshape136" stroked="false">
                  <v:imagedata r:id="rId119" o:title=""/>
                </v:shape>
                <v:shape style="position:absolute;left:7622;top:7147;width:461;height:327" type="#_x0000_t75" id="docshape137" stroked="false">
                  <v:imagedata r:id="rId120" o:title=""/>
                </v:shape>
                <v:shape style="position:absolute;left:6849;top:8232;width:77;height:53" type="#_x0000_t75" id="docshape138" stroked="false">
                  <v:imagedata r:id="rId121" o:title=""/>
                </v:shape>
                <v:shape style="position:absolute;left:7612;top:8515;width:77;height:53" type="#_x0000_t75" id="docshape139" stroked="false">
                  <v:imagedata r:id="rId122" o:title=""/>
                </v:shape>
                <v:shape style="position:absolute;left:5371;top:8980;width:77;height:58" type="#_x0000_t75" id="docshape140" stroked="false">
                  <v:imagedata r:id="rId123" o:title=""/>
                </v:shape>
                <v:shape style="position:absolute;left:6480;top:9561;width:77;height:63" type="#_x0000_t75" id="docshape141" stroked="false">
                  <v:imagedata r:id="rId124" o:title=""/>
                </v:shape>
                <v:shape style="position:absolute;left:11169;top:11572;width:77;height:53" type="#_x0000_t75" id="docshape142" stroked="false">
                  <v:imagedata r:id="rId125" o:title=""/>
                </v:shape>
                <v:shape style="position:absolute;left:3014;top:11760;width:77;height:53" type="#_x0000_t75" id="docshape143" stroked="false">
                  <v:imagedata r:id="rId126" o:title=""/>
                </v:shape>
                <v:shape style="position:absolute;left:859;top:11788;width:77;height:72" type="#_x0000_t75" id="docshape144" stroked="false">
                  <v:imagedata r:id="rId127" o:title=""/>
                </v:shape>
                <v:shape style="position:absolute;left:8548;top:11875;width:77;height:58" type="#_x0000_t75" id="docshape145" stroked="false">
                  <v:imagedata r:id="rId128" o:title=""/>
                </v:shape>
                <v:shape style="position:absolute;left:7224;top:12873;width:77;height:58" type="#_x0000_t75" id="docshape146" stroked="false">
                  <v:imagedata r:id="rId129" o:title=""/>
                </v:shape>
                <v:shape style="position:absolute;left:9432;top:14980;width:77;height:53" type="#_x0000_t75" id="docshape147" stroked="false">
                  <v:imagedata r:id="rId130" o:title=""/>
                </v:shape>
                <v:shape style="position:absolute;left:7910;top:15062;width:77;height:68" type="#_x0000_t75" id="docshape148" stroked="false">
                  <v:imagedata r:id="rId131" o:title=""/>
                </v:shape>
                <v:shape style="position:absolute;left:6955;top:15782;width:77;height:53" type="#_x0000_t75" id="docshape149" stroked="false">
                  <v:imagedata r:id="rId132" o:title=""/>
                </v:shape>
                <v:shape style="position:absolute;left:1848;top:16233;width:77;height:63" type="#_x0000_t75" id="docshape150" stroked="false">
                  <v:imagedata r:id="rId133" o:title=""/>
                </v:shape>
                <v:shape style="position:absolute;left:11784;top:5131;width:120;height:11698" type="#_x0000_t75" id="docshape151" stroked="false">
                  <v:imagedata r:id="rId134" o:title=""/>
                </v:shape>
                <w10:wrap type="none"/>
              </v:group>
            </w:pict>
          </mc:Fallback>
        </mc:AlternateContent>
      </w:r>
    </w:p>
    <w:sectPr>
      <w:footerReference w:type="default" r:id="rId101"/>
      <w:pgSz w:w="11910" w:h="16840"/>
      <w:pgMar w:header="0" w:footer="0" w:top="1920" w:bottom="280" w:left="1440" w:right="143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5409792">
              <wp:simplePos x="0" y="0"/>
              <wp:positionH relativeFrom="page">
                <wp:posOffset>6742938</wp:posOffset>
              </wp:positionH>
              <wp:positionV relativeFrom="page">
                <wp:posOffset>9473126</wp:posOffset>
              </wp:positionV>
              <wp:extent cx="167640" cy="13906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7640" cy="139065"/>
                      </a:xfrm>
                      <a:prstGeom prst="rect">
                        <a:avLst/>
                      </a:prstGeom>
                    </wps:spPr>
                    <wps:txbx>
                      <w:txbxContent>
                        <w:p>
                          <w:pPr>
                            <w:spacing w:before="14"/>
                            <w:ind w:left="2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0.940002pt;margin-top:745.915466pt;width:13.2pt;height:10.95pt;mso-position-horizontal-relative:page;mso-position-vertical-relative:page;z-index:-17906688" type="#_x0000_t202" id="docshape1" filled="false" stroked="false">
              <v:textbox inset="0,0,0,0">
                <w:txbxContent>
                  <w:p>
                    <w:pPr>
                      <w:spacing w:before="14"/>
                      <w:ind w:left="2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upperRoman"/>
      <w:lvlText w:val="%1."/>
      <w:lvlJc w:val="left"/>
      <w:pPr>
        <w:ind w:left="1078" w:hanging="514"/>
        <w:jc w:val="right"/>
      </w:pPr>
      <w:rPr>
        <w:rFonts w:hint="default"/>
        <w:spacing w:val="0"/>
        <w:w w:val="100"/>
        <w:lang w:val="Cy-sr-SP" w:eastAsia="en-US" w:bidi="ar-SA"/>
      </w:rPr>
    </w:lvl>
    <w:lvl w:ilvl="1">
      <w:start w:val="0"/>
      <w:numFmt w:val="bullet"/>
      <w:lvlText w:val="•"/>
      <w:lvlJc w:val="left"/>
      <w:pPr>
        <w:ind w:left="1874" w:hanging="514"/>
      </w:pPr>
      <w:rPr>
        <w:rFonts w:hint="default"/>
        <w:lang w:val="Cy-sr-SP" w:eastAsia="en-US" w:bidi="ar-SA"/>
      </w:rPr>
    </w:lvl>
    <w:lvl w:ilvl="2">
      <w:start w:val="0"/>
      <w:numFmt w:val="bullet"/>
      <w:lvlText w:val="•"/>
      <w:lvlJc w:val="left"/>
      <w:pPr>
        <w:ind w:left="2669" w:hanging="514"/>
      </w:pPr>
      <w:rPr>
        <w:rFonts w:hint="default"/>
        <w:lang w:val="Cy-sr-SP" w:eastAsia="en-US" w:bidi="ar-SA"/>
      </w:rPr>
    </w:lvl>
    <w:lvl w:ilvl="3">
      <w:start w:val="0"/>
      <w:numFmt w:val="bullet"/>
      <w:lvlText w:val="•"/>
      <w:lvlJc w:val="left"/>
      <w:pPr>
        <w:ind w:left="3463" w:hanging="514"/>
      </w:pPr>
      <w:rPr>
        <w:rFonts w:hint="default"/>
        <w:lang w:val="Cy-sr-SP" w:eastAsia="en-US" w:bidi="ar-SA"/>
      </w:rPr>
    </w:lvl>
    <w:lvl w:ilvl="4">
      <w:start w:val="0"/>
      <w:numFmt w:val="bullet"/>
      <w:lvlText w:val="•"/>
      <w:lvlJc w:val="left"/>
      <w:pPr>
        <w:ind w:left="4258" w:hanging="514"/>
      </w:pPr>
      <w:rPr>
        <w:rFonts w:hint="default"/>
        <w:lang w:val="Cy-sr-SP" w:eastAsia="en-US" w:bidi="ar-SA"/>
      </w:rPr>
    </w:lvl>
    <w:lvl w:ilvl="5">
      <w:start w:val="0"/>
      <w:numFmt w:val="bullet"/>
      <w:lvlText w:val="•"/>
      <w:lvlJc w:val="left"/>
      <w:pPr>
        <w:ind w:left="5053" w:hanging="514"/>
      </w:pPr>
      <w:rPr>
        <w:rFonts w:hint="default"/>
        <w:lang w:val="Cy-sr-SP" w:eastAsia="en-US" w:bidi="ar-SA"/>
      </w:rPr>
    </w:lvl>
    <w:lvl w:ilvl="6">
      <w:start w:val="0"/>
      <w:numFmt w:val="bullet"/>
      <w:lvlText w:val="•"/>
      <w:lvlJc w:val="left"/>
      <w:pPr>
        <w:ind w:left="5847" w:hanging="514"/>
      </w:pPr>
      <w:rPr>
        <w:rFonts w:hint="default"/>
        <w:lang w:val="Cy-sr-SP" w:eastAsia="en-US" w:bidi="ar-SA"/>
      </w:rPr>
    </w:lvl>
    <w:lvl w:ilvl="7">
      <w:start w:val="0"/>
      <w:numFmt w:val="bullet"/>
      <w:lvlText w:val="•"/>
      <w:lvlJc w:val="left"/>
      <w:pPr>
        <w:ind w:left="6642" w:hanging="514"/>
      </w:pPr>
      <w:rPr>
        <w:rFonts w:hint="default"/>
        <w:lang w:val="Cy-sr-SP" w:eastAsia="en-US" w:bidi="ar-SA"/>
      </w:rPr>
    </w:lvl>
    <w:lvl w:ilvl="8">
      <w:start w:val="0"/>
      <w:numFmt w:val="bullet"/>
      <w:lvlText w:val="•"/>
      <w:lvlJc w:val="left"/>
      <w:pPr>
        <w:ind w:left="7437" w:hanging="514"/>
      </w:pPr>
      <w:rPr>
        <w:rFonts w:hint="default"/>
        <w:lang w:val="Cy-sr-SP" w:eastAsia="en-US" w:bidi="ar-SA"/>
      </w:rPr>
    </w:lvl>
  </w:abstractNum>
  <w:abstractNum w:abstractNumId="4">
    <w:multiLevelType w:val="hybridMultilevel"/>
    <w:lvl w:ilvl="0">
      <w:start w:val="1"/>
      <w:numFmt w:val="decimal"/>
      <w:lvlText w:val="%1)"/>
      <w:lvlJc w:val="left"/>
      <w:pPr>
        <w:ind w:left="1073" w:hanging="356"/>
        <w:jc w:val="left"/>
      </w:pPr>
      <w:rPr>
        <w:rFonts w:hint="default" w:ascii="Times New Roman" w:hAnsi="Times New Roman" w:eastAsia="Times New Roman" w:cs="Times New Roman"/>
        <w:b w:val="0"/>
        <w:bCs w:val="0"/>
        <w:i w:val="0"/>
        <w:iCs w:val="0"/>
        <w:spacing w:val="0"/>
        <w:w w:val="100"/>
        <w:sz w:val="24"/>
        <w:szCs w:val="24"/>
        <w:lang w:val="Cy-sr-SP" w:eastAsia="en-US" w:bidi="ar-SA"/>
      </w:rPr>
    </w:lvl>
    <w:lvl w:ilvl="1">
      <w:start w:val="0"/>
      <w:numFmt w:val="bullet"/>
      <w:lvlText w:val="-"/>
      <w:lvlJc w:val="left"/>
      <w:pPr>
        <w:ind w:left="1073" w:hanging="356"/>
      </w:pPr>
      <w:rPr>
        <w:rFonts w:hint="default" w:ascii="Times New Roman" w:hAnsi="Times New Roman" w:eastAsia="Times New Roman" w:cs="Times New Roman"/>
        <w:b w:val="0"/>
        <w:bCs w:val="0"/>
        <w:i w:val="0"/>
        <w:iCs w:val="0"/>
        <w:spacing w:val="0"/>
        <w:w w:val="100"/>
        <w:sz w:val="24"/>
        <w:szCs w:val="24"/>
        <w:lang w:val="Cy-sr-SP" w:eastAsia="en-US" w:bidi="ar-SA"/>
      </w:rPr>
    </w:lvl>
    <w:lvl w:ilvl="2">
      <w:start w:val="0"/>
      <w:numFmt w:val="bullet"/>
      <w:lvlText w:val="•"/>
      <w:lvlJc w:val="left"/>
      <w:pPr>
        <w:ind w:left="2952" w:hanging="356"/>
      </w:pPr>
      <w:rPr>
        <w:rFonts w:hint="default"/>
        <w:lang w:val="Cy-sr-SP" w:eastAsia="en-US" w:bidi="ar-SA"/>
      </w:rPr>
    </w:lvl>
    <w:lvl w:ilvl="3">
      <w:start w:val="0"/>
      <w:numFmt w:val="bullet"/>
      <w:lvlText w:val="•"/>
      <w:lvlJc w:val="left"/>
      <w:pPr>
        <w:ind w:left="3888" w:hanging="356"/>
      </w:pPr>
      <w:rPr>
        <w:rFonts w:hint="default"/>
        <w:lang w:val="Cy-sr-SP" w:eastAsia="en-US" w:bidi="ar-SA"/>
      </w:rPr>
    </w:lvl>
    <w:lvl w:ilvl="4">
      <w:start w:val="0"/>
      <w:numFmt w:val="bullet"/>
      <w:lvlText w:val="•"/>
      <w:lvlJc w:val="left"/>
      <w:pPr>
        <w:ind w:left="4824" w:hanging="356"/>
      </w:pPr>
      <w:rPr>
        <w:rFonts w:hint="default"/>
        <w:lang w:val="Cy-sr-SP" w:eastAsia="en-US" w:bidi="ar-SA"/>
      </w:rPr>
    </w:lvl>
    <w:lvl w:ilvl="5">
      <w:start w:val="0"/>
      <w:numFmt w:val="bullet"/>
      <w:lvlText w:val="•"/>
      <w:lvlJc w:val="left"/>
      <w:pPr>
        <w:ind w:left="5760" w:hanging="356"/>
      </w:pPr>
      <w:rPr>
        <w:rFonts w:hint="default"/>
        <w:lang w:val="Cy-sr-SP" w:eastAsia="en-US" w:bidi="ar-SA"/>
      </w:rPr>
    </w:lvl>
    <w:lvl w:ilvl="6">
      <w:start w:val="0"/>
      <w:numFmt w:val="bullet"/>
      <w:lvlText w:val="•"/>
      <w:lvlJc w:val="left"/>
      <w:pPr>
        <w:ind w:left="6696" w:hanging="356"/>
      </w:pPr>
      <w:rPr>
        <w:rFonts w:hint="default"/>
        <w:lang w:val="Cy-sr-SP" w:eastAsia="en-US" w:bidi="ar-SA"/>
      </w:rPr>
    </w:lvl>
    <w:lvl w:ilvl="7">
      <w:start w:val="0"/>
      <w:numFmt w:val="bullet"/>
      <w:lvlText w:val="•"/>
      <w:lvlJc w:val="left"/>
      <w:pPr>
        <w:ind w:left="7632" w:hanging="356"/>
      </w:pPr>
      <w:rPr>
        <w:rFonts w:hint="default"/>
        <w:lang w:val="Cy-sr-SP" w:eastAsia="en-US" w:bidi="ar-SA"/>
      </w:rPr>
    </w:lvl>
    <w:lvl w:ilvl="8">
      <w:start w:val="0"/>
      <w:numFmt w:val="bullet"/>
      <w:lvlText w:val="•"/>
      <w:lvlJc w:val="left"/>
      <w:pPr>
        <w:ind w:left="8568" w:hanging="356"/>
      </w:pPr>
      <w:rPr>
        <w:rFonts w:hint="default"/>
        <w:lang w:val="Cy-sr-SP" w:eastAsia="en-US" w:bidi="ar-SA"/>
      </w:rPr>
    </w:lvl>
  </w:abstractNum>
  <w:abstractNum w:abstractNumId="3">
    <w:multiLevelType w:val="hybridMultilevel"/>
    <w:lvl w:ilvl="0">
      <w:start w:val="0"/>
      <w:numFmt w:val="bullet"/>
      <w:lvlText w:val=""/>
      <w:lvlJc w:val="left"/>
      <w:pPr>
        <w:ind w:left="1080" w:hanging="360"/>
      </w:pPr>
      <w:rPr>
        <w:rFonts w:hint="default" w:ascii="Wingdings" w:hAnsi="Wingdings" w:eastAsia="Wingdings" w:cs="Wingdings"/>
        <w:b w:val="0"/>
        <w:bCs w:val="0"/>
        <w:i w:val="0"/>
        <w:iCs w:val="0"/>
        <w:spacing w:val="0"/>
        <w:w w:val="100"/>
        <w:sz w:val="24"/>
        <w:szCs w:val="24"/>
        <w:lang w:val="Cy-sr-SP" w:eastAsia="en-US" w:bidi="ar-SA"/>
      </w:rPr>
    </w:lvl>
    <w:lvl w:ilvl="1">
      <w:start w:val="0"/>
      <w:numFmt w:val="bullet"/>
      <w:lvlText w:val="•"/>
      <w:lvlJc w:val="left"/>
      <w:pPr>
        <w:ind w:left="2016" w:hanging="360"/>
      </w:pPr>
      <w:rPr>
        <w:rFonts w:hint="default"/>
        <w:lang w:val="Cy-sr-SP" w:eastAsia="en-US" w:bidi="ar-SA"/>
      </w:rPr>
    </w:lvl>
    <w:lvl w:ilvl="2">
      <w:start w:val="0"/>
      <w:numFmt w:val="bullet"/>
      <w:lvlText w:val="•"/>
      <w:lvlJc w:val="left"/>
      <w:pPr>
        <w:ind w:left="2952" w:hanging="360"/>
      </w:pPr>
      <w:rPr>
        <w:rFonts w:hint="default"/>
        <w:lang w:val="Cy-sr-SP" w:eastAsia="en-US" w:bidi="ar-SA"/>
      </w:rPr>
    </w:lvl>
    <w:lvl w:ilvl="3">
      <w:start w:val="0"/>
      <w:numFmt w:val="bullet"/>
      <w:lvlText w:val="•"/>
      <w:lvlJc w:val="left"/>
      <w:pPr>
        <w:ind w:left="3888" w:hanging="360"/>
      </w:pPr>
      <w:rPr>
        <w:rFonts w:hint="default"/>
        <w:lang w:val="Cy-sr-SP" w:eastAsia="en-US" w:bidi="ar-SA"/>
      </w:rPr>
    </w:lvl>
    <w:lvl w:ilvl="4">
      <w:start w:val="0"/>
      <w:numFmt w:val="bullet"/>
      <w:lvlText w:val="•"/>
      <w:lvlJc w:val="left"/>
      <w:pPr>
        <w:ind w:left="4824" w:hanging="360"/>
      </w:pPr>
      <w:rPr>
        <w:rFonts w:hint="default"/>
        <w:lang w:val="Cy-sr-SP" w:eastAsia="en-US" w:bidi="ar-SA"/>
      </w:rPr>
    </w:lvl>
    <w:lvl w:ilvl="5">
      <w:start w:val="0"/>
      <w:numFmt w:val="bullet"/>
      <w:lvlText w:val="•"/>
      <w:lvlJc w:val="left"/>
      <w:pPr>
        <w:ind w:left="5760" w:hanging="360"/>
      </w:pPr>
      <w:rPr>
        <w:rFonts w:hint="default"/>
        <w:lang w:val="Cy-sr-SP" w:eastAsia="en-US" w:bidi="ar-SA"/>
      </w:rPr>
    </w:lvl>
    <w:lvl w:ilvl="6">
      <w:start w:val="0"/>
      <w:numFmt w:val="bullet"/>
      <w:lvlText w:val="•"/>
      <w:lvlJc w:val="left"/>
      <w:pPr>
        <w:ind w:left="6696" w:hanging="360"/>
      </w:pPr>
      <w:rPr>
        <w:rFonts w:hint="default"/>
        <w:lang w:val="Cy-sr-SP" w:eastAsia="en-US" w:bidi="ar-SA"/>
      </w:rPr>
    </w:lvl>
    <w:lvl w:ilvl="7">
      <w:start w:val="0"/>
      <w:numFmt w:val="bullet"/>
      <w:lvlText w:val="•"/>
      <w:lvlJc w:val="left"/>
      <w:pPr>
        <w:ind w:left="7632" w:hanging="360"/>
      </w:pPr>
      <w:rPr>
        <w:rFonts w:hint="default"/>
        <w:lang w:val="Cy-sr-SP" w:eastAsia="en-US" w:bidi="ar-SA"/>
      </w:rPr>
    </w:lvl>
    <w:lvl w:ilvl="8">
      <w:start w:val="0"/>
      <w:numFmt w:val="bullet"/>
      <w:lvlText w:val="•"/>
      <w:lvlJc w:val="left"/>
      <w:pPr>
        <w:ind w:left="8568" w:hanging="360"/>
      </w:pPr>
      <w:rPr>
        <w:rFonts w:hint="default"/>
        <w:lang w:val="Cy-sr-SP" w:eastAsia="en-US" w:bidi="ar-SA"/>
      </w:rPr>
    </w:lvl>
  </w:abstractNum>
  <w:abstractNum w:abstractNumId="2">
    <w:multiLevelType w:val="hybridMultilevel"/>
    <w:lvl w:ilvl="0">
      <w:start w:val="0"/>
      <w:numFmt w:val="bullet"/>
      <w:lvlText w:val="-"/>
      <w:lvlJc w:val="left"/>
      <w:pPr>
        <w:ind w:left="1440" w:hanging="360"/>
      </w:pPr>
      <w:rPr>
        <w:rFonts w:hint="default" w:ascii="Times New Roman" w:hAnsi="Times New Roman" w:eastAsia="Times New Roman" w:cs="Times New Roman"/>
        <w:b w:val="0"/>
        <w:bCs w:val="0"/>
        <w:i w:val="0"/>
        <w:iCs w:val="0"/>
        <w:spacing w:val="0"/>
        <w:w w:val="100"/>
        <w:sz w:val="24"/>
        <w:szCs w:val="24"/>
        <w:lang w:val="Cy-sr-SP" w:eastAsia="en-US" w:bidi="ar-SA"/>
      </w:rPr>
    </w:lvl>
    <w:lvl w:ilvl="1">
      <w:start w:val="0"/>
      <w:numFmt w:val="bullet"/>
      <w:lvlText w:val="•"/>
      <w:lvlJc w:val="left"/>
      <w:pPr>
        <w:ind w:left="2340" w:hanging="360"/>
      </w:pPr>
      <w:rPr>
        <w:rFonts w:hint="default"/>
        <w:lang w:val="Cy-sr-SP" w:eastAsia="en-US" w:bidi="ar-SA"/>
      </w:rPr>
    </w:lvl>
    <w:lvl w:ilvl="2">
      <w:start w:val="0"/>
      <w:numFmt w:val="bullet"/>
      <w:lvlText w:val="•"/>
      <w:lvlJc w:val="left"/>
      <w:pPr>
        <w:ind w:left="3240" w:hanging="360"/>
      </w:pPr>
      <w:rPr>
        <w:rFonts w:hint="default"/>
        <w:lang w:val="Cy-sr-SP" w:eastAsia="en-US" w:bidi="ar-SA"/>
      </w:rPr>
    </w:lvl>
    <w:lvl w:ilvl="3">
      <w:start w:val="0"/>
      <w:numFmt w:val="bullet"/>
      <w:lvlText w:val="•"/>
      <w:lvlJc w:val="left"/>
      <w:pPr>
        <w:ind w:left="4140" w:hanging="360"/>
      </w:pPr>
      <w:rPr>
        <w:rFonts w:hint="default"/>
        <w:lang w:val="Cy-sr-SP" w:eastAsia="en-US" w:bidi="ar-SA"/>
      </w:rPr>
    </w:lvl>
    <w:lvl w:ilvl="4">
      <w:start w:val="0"/>
      <w:numFmt w:val="bullet"/>
      <w:lvlText w:val="•"/>
      <w:lvlJc w:val="left"/>
      <w:pPr>
        <w:ind w:left="5040" w:hanging="360"/>
      </w:pPr>
      <w:rPr>
        <w:rFonts w:hint="default"/>
        <w:lang w:val="Cy-sr-SP" w:eastAsia="en-US" w:bidi="ar-SA"/>
      </w:rPr>
    </w:lvl>
    <w:lvl w:ilvl="5">
      <w:start w:val="0"/>
      <w:numFmt w:val="bullet"/>
      <w:lvlText w:val="•"/>
      <w:lvlJc w:val="left"/>
      <w:pPr>
        <w:ind w:left="5940" w:hanging="360"/>
      </w:pPr>
      <w:rPr>
        <w:rFonts w:hint="default"/>
        <w:lang w:val="Cy-sr-SP" w:eastAsia="en-US" w:bidi="ar-SA"/>
      </w:rPr>
    </w:lvl>
    <w:lvl w:ilvl="6">
      <w:start w:val="0"/>
      <w:numFmt w:val="bullet"/>
      <w:lvlText w:val="•"/>
      <w:lvlJc w:val="left"/>
      <w:pPr>
        <w:ind w:left="6840" w:hanging="360"/>
      </w:pPr>
      <w:rPr>
        <w:rFonts w:hint="default"/>
        <w:lang w:val="Cy-sr-SP" w:eastAsia="en-US" w:bidi="ar-SA"/>
      </w:rPr>
    </w:lvl>
    <w:lvl w:ilvl="7">
      <w:start w:val="0"/>
      <w:numFmt w:val="bullet"/>
      <w:lvlText w:val="•"/>
      <w:lvlJc w:val="left"/>
      <w:pPr>
        <w:ind w:left="7740" w:hanging="360"/>
      </w:pPr>
      <w:rPr>
        <w:rFonts w:hint="default"/>
        <w:lang w:val="Cy-sr-SP" w:eastAsia="en-US" w:bidi="ar-SA"/>
      </w:rPr>
    </w:lvl>
    <w:lvl w:ilvl="8">
      <w:start w:val="0"/>
      <w:numFmt w:val="bullet"/>
      <w:lvlText w:val="•"/>
      <w:lvlJc w:val="left"/>
      <w:pPr>
        <w:ind w:left="8640" w:hanging="360"/>
      </w:pPr>
      <w:rPr>
        <w:rFonts w:hint="default"/>
        <w:lang w:val="Cy-sr-SP" w:eastAsia="en-US" w:bidi="ar-SA"/>
      </w:rPr>
    </w:lvl>
  </w:abstractNum>
  <w:abstractNum w:abstractNumId="1">
    <w:multiLevelType w:val="hybridMultilevel"/>
    <w:lvl w:ilvl="0">
      <w:start w:val="0"/>
      <w:numFmt w:val="bullet"/>
      <w:lvlText w:val=""/>
      <w:lvlJc w:val="left"/>
      <w:pPr>
        <w:ind w:left="1073" w:hanging="356"/>
      </w:pPr>
      <w:rPr>
        <w:rFonts w:hint="default" w:ascii="Wingdings" w:hAnsi="Wingdings" w:eastAsia="Wingdings" w:cs="Wingdings"/>
        <w:b w:val="0"/>
        <w:bCs w:val="0"/>
        <w:i w:val="0"/>
        <w:iCs w:val="0"/>
        <w:spacing w:val="0"/>
        <w:w w:val="100"/>
        <w:sz w:val="24"/>
        <w:szCs w:val="24"/>
        <w:lang w:val="Cy-sr-SP" w:eastAsia="en-US" w:bidi="ar-SA"/>
      </w:rPr>
    </w:lvl>
    <w:lvl w:ilvl="1">
      <w:start w:val="0"/>
      <w:numFmt w:val="bullet"/>
      <w:lvlText w:val="•"/>
      <w:lvlJc w:val="left"/>
      <w:pPr>
        <w:ind w:left="2016" w:hanging="356"/>
      </w:pPr>
      <w:rPr>
        <w:rFonts w:hint="default"/>
        <w:lang w:val="Cy-sr-SP" w:eastAsia="en-US" w:bidi="ar-SA"/>
      </w:rPr>
    </w:lvl>
    <w:lvl w:ilvl="2">
      <w:start w:val="0"/>
      <w:numFmt w:val="bullet"/>
      <w:lvlText w:val="•"/>
      <w:lvlJc w:val="left"/>
      <w:pPr>
        <w:ind w:left="2952" w:hanging="356"/>
      </w:pPr>
      <w:rPr>
        <w:rFonts w:hint="default"/>
        <w:lang w:val="Cy-sr-SP" w:eastAsia="en-US" w:bidi="ar-SA"/>
      </w:rPr>
    </w:lvl>
    <w:lvl w:ilvl="3">
      <w:start w:val="0"/>
      <w:numFmt w:val="bullet"/>
      <w:lvlText w:val="•"/>
      <w:lvlJc w:val="left"/>
      <w:pPr>
        <w:ind w:left="3888" w:hanging="356"/>
      </w:pPr>
      <w:rPr>
        <w:rFonts w:hint="default"/>
        <w:lang w:val="Cy-sr-SP" w:eastAsia="en-US" w:bidi="ar-SA"/>
      </w:rPr>
    </w:lvl>
    <w:lvl w:ilvl="4">
      <w:start w:val="0"/>
      <w:numFmt w:val="bullet"/>
      <w:lvlText w:val="•"/>
      <w:lvlJc w:val="left"/>
      <w:pPr>
        <w:ind w:left="4824" w:hanging="356"/>
      </w:pPr>
      <w:rPr>
        <w:rFonts w:hint="default"/>
        <w:lang w:val="Cy-sr-SP" w:eastAsia="en-US" w:bidi="ar-SA"/>
      </w:rPr>
    </w:lvl>
    <w:lvl w:ilvl="5">
      <w:start w:val="0"/>
      <w:numFmt w:val="bullet"/>
      <w:lvlText w:val="•"/>
      <w:lvlJc w:val="left"/>
      <w:pPr>
        <w:ind w:left="5760" w:hanging="356"/>
      </w:pPr>
      <w:rPr>
        <w:rFonts w:hint="default"/>
        <w:lang w:val="Cy-sr-SP" w:eastAsia="en-US" w:bidi="ar-SA"/>
      </w:rPr>
    </w:lvl>
    <w:lvl w:ilvl="6">
      <w:start w:val="0"/>
      <w:numFmt w:val="bullet"/>
      <w:lvlText w:val="•"/>
      <w:lvlJc w:val="left"/>
      <w:pPr>
        <w:ind w:left="6696" w:hanging="356"/>
      </w:pPr>
      <w:rPr>
        <w:rFonts w:hint="default"/>
        <w:lang w:val="Cy-sr-SP" w:eastAsia="en-US" w:bidi="ar-SA"/>
      </w:rPr>
    </w:lvl>
    <w:lvl w:ilvl="7">
      <w:start w:val="0"/>
      <w:numFmt w:val="bullet"/>
      <w:lvlText w:val="•"/>
      <w:lvlJc w:val="left"/>
      <w:pPr>
        <w:ind w:left="7632" w:hanging="356"/>
      </w:pPr>
      <w:rPr>
        <w:rFonts w:hint="default"/>
        <w:lang w:val="Cy-sr-SP" w:eastAsia="en-US" w:bidi="ar-SA"/>
      </w:rPr>
    </w:lvl>
    <w:lvl w:ilvl="8">
      <w:start w:val="0"/>
      <w:numFmt w:val="bullet"/>
      <w:lvlText w:val="•"/>
      <w:lvlJc w:val="left"/>
      <w:pPr>
        <w:ind w:left="8568" w:hanging="356"/>
      </w:pPr>
      <w:rPr>
        <w:rFonts w:hint="default"/>
        <w:lang w:val="Cy-sr-SP" w:eastAsia="en-US" w:bidi="ar-SA"/>
      </w:rPr>
    </w:lvl>
  </w:abstractNum>
  <w:abstractNum w:abstractNumId="0">
    <w:multiLevelType w:val="hybridMultilevel"/>
    <w:lvl w:ilvl="0">
      <w:start w:val="1"/>
      <w:numFmt w:val="decimal"/>
      <w:lvlText w:val="%1."/>
      <w:lvlJc w:val="left"/>
      <w:pPr>
        <w:ind w:left="4875" w:hanging="360"/>
        <w:jc w:val="right"/>
      </w:pPr>
      <w:rPr>
        <w:rFonts w:hint="default" w:ascii="Times New Roman" w:hAnsi="Times New Roman" w:eastAsia="Times New Roman" w:cs="Times New Roman"/>
        <w:b/>
        <w:bCs/>
        <w:i w:val="0"/>
        <w:iCs w:val="0"/>
        <w:spacing w:val="0"/>
        <w:w w:val="100"/>
        <w:sz w:val="24"/>
        <w:szCs w:val="24"/>
        <w:lang w:val="Cy-sr-SP" w:eastAsia="en-US" w:bidi="ar-SA"/>
      </w:rPr>
    </w:lvl>
    <w:lvl w:ilvl="1">
      <w:start w:val="1"/>
      <w:numFmt w:val="decimal"/>
      <w:lvlText w:val="%1.%2."/>
      <w:lvlJc w:val="left"/>
      <w:pPr>
        <w:ind w:left="780" w:hanging="420"/>
        <w:jc w:val="left"/>
      </w:pPr>
      <w:rPr>
        <w:rFonts w:hint="default" w:ascii="Times New Roman" w:hAnsi="Times New Roman" w:eastAsia="Times New Roman" w:cs="Times New Roman"/>
        <w:b/>
        <w:bCs/>
        <w:i w:val="0"/>
        <w:iCs w:val="0"/>
        <w:spacing w:val="0"/>
        <w:w w:val="100"/>
        <w:sz w:val="24"/>
        <w:szCs w:val="24"/>
        <w:lang w:val="Cy-sr-SP" w:eastAsia="en-US" w:bidi="ar-SA"/>
      </w:rPr>
    </w:lvl>
    <w:lvl w:ilvl="2">
      <w:start w:val="1"/>
      <w:numFmt w:val="decimal"/>
      <w:lvlText w:val="%1.%2.%3."/>
      <w:lvlJc w:val="left"/>
      <w:pPr>
        <w:ind w:left="1154" w:hanging="795"/>
        <w:jc w:val="left"/>
      </w:pPr>
      <w:rPr>
        <w:rFonts w:hint="default" w:ascii="Times New Roman" w:hAnsi="Times New Roman" w:eastAsia="Times New Roman" w:cs="Times New Roman"/>
        <w:b w:val="0"/>
        <w:bCs w:val="0"/>
        <w:i w:val="0"/>
        <w:iCs w:val="0"/>
        <w:spacing w:val="0"/>
        <w:w w:val="100"/>
        <w:sz w:val="24"/>
        <w:szCs w:val="24"/>
        <w:lang w:val="Cy-sr-SP" w:eastAsia="en-US" w:bidi="ar-SA"/>
      </w:rPr>
    </w:lvl>
    <w:lvl w:ilvl="3">
      <w:start w:val="0"/>
      <w:numFmt w:val="bullet"/>
      <w:lvlText w:val="•"/>
      <w:lvlJc w:val="left"/>
      <w:pPr>
        <w:ind w:left="4880" w:hanging="795"/>
      </w:pPr>
      <w:rPr>
        <w:rFonts w:hint="default"/>
        <w:lang w:val="Cy-sr-SP" w:eastAsia="en-US" w:bidi="ar-SA"/>
      </w:rPr>
    </w:lvl>
    <w:lvl w:ilvl="4">
      <w:start w:val="0"/>
      <w:numFmt w:val="bullet"/>
      <w:lvlText w:val="•"/>
      <w:lvlJc w:val="left"/>
      <w:pPr>
        <w:ind w:left="5674" w:hanging="795"/>
      </w:pPr>
      <w:rPr>
        <w:rFonts w:hint="default"/>
        <w:lang w:val="Cy-sr-SP" w:eastAsia="en-US" w:bidi="ar-SA"/>
      </w:rPr>
    </w:lvl>
    <w:lvl w:ilvl="5">
      <w:start w:val="0"/>
      <w:numFmt w:val="bullet"/>
      <w:lvlText w:val="•"/>
      <w:lvlJc w:val="left"/>
      <w:pPr>
        <w:ind w:left="6468" w:hanging="795"/>
      </w:pPr>
      <w:rPr>
        <w:rFonts w:hint="default"/>
        <w:lang w:val="Cy-sr-SP" w:eastAsia="en-US" w:bidi="ar-SA"/>
      </w:rPr>
    </w:lvl>
    <w:lvl w:ilvl="6">
      <w:start w:val="0"/>
      <w:numFmt w:val="bullet"/>
      <w:lvlText w:val="•"/>
      <w:lvlJc w:val="left"/>
      <w:pPr>
        <w:ind w:left="7262" w:hanging="795"/>
      </w:pPr>
      <w:rPr>
        <w:rFonts w:hint="default"/>
        <w:lang w:val="Cy-sr-SP" w:eastAsia="en-US" w:bidi="ar-SA"/>
      </w:rPr>
    </w:lvl>
    <w:lvl w:ilvl="7">
      <w:start w:val="0"/>
      <w:numFmt w:val="bullet"/>
      <w:lvlText w:val="•"/>
      <w:lvlJc w:val="left"/>
      <w:pPr>
        <w:ind w:left="8057" w:hanging="795"/>
      </w:pPr>
      <w:rPr>
        <w:rFonts w:hint="default"/>
        <w:lang w:val="Cy-sr-SP" w:eastAsia="en-US" w:bidi="ar-SA"/>
      </w:rPr>
    </w:lvl>
    <w:lvl w:ilvl="8">
      <w:start w:val="0"/>
      <w:numFmt w:val="bullet"/>
      <w:lvlText w:val="•"/>
      <w:lvlJc w:val="left"/>
      <w:pPr>
        <w:ind w:left="8851" w:hanging="795"/>
      </w:pPr>
      <w:rPr>
        <w:rFonts w:hint="default"/>
        <w:lang w:val="Cy-sr-SP"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Cy-sr-SP" w:eastAsia="en-US" w:bidi="ar-SA"/>
    </w:rPr>
  </w:style>
  <w:style w:styleId="BodyText" w:type="paragraph">
    <w:name w:val="Body Text"/>
    <w:basedOn w:val="Normal"/>
    <w:uiPriority w:val="1"/>
    <w:qFormat/>
    <w:pPr>
      <w:ind w:left="360"/>
      <w:jc w:val="both"/>
    </w:pPr>
    <w:rPr>
      <w:rFonts w:ascii="Times New Roman" w:hAnsi="Times New Roman" w:eastAsia="Times New Roman" w:cs="Times New Roman"/>
      <w:sz w:val="24"/>
      <w:szCs w:val="24"/>
      <w:lang w:val="Cy-sr-SP" w:eastAsia="en-US" w:bidi="ar-SA"/>
    </w:rPr>
  </w:style>
  <w:style w:styleId="Heading1" w:type="paragraph">
    <w:name w:val="Heading 1"/>
    <w:basedOn w:val="Normal"/>
    <w:uiPriority w:val="1"/>
    <w:qFormat/>
    <w:pPr>
      <w:ind w:hanging="360"/>
      <w:outlineLvl w:val="1"/>
    </w:pPr>
    <w:rPr>
      <w:rFonts w:ascii="Times New Roman" w:hAnsi="Times New Roman" w:eastAsia="Times New Roman" w:cs="Times New Roman"/>
      <w:b/>
      <w:bCs/>
      <w:sz w:val="24"/>
      <w:szCs w:val="24"/>
      <w:lang w:val="Cy-sr-SP" w:eastAsia="en-US" w:bidi="ar-SA"/>
    </w:rPr>
  </w:style>
  <w:style w:styleId="Heading2" w:type="paragraph">
    <w:name w:val="Heading 2"/>
    <w:basedOn w:val="Normal"/>
    <w:uiPriority w:val="1"/>
    <w:qFormat/>
    <w:pPr>
      <w:ind w:left="360"/>
      <w:outlineLvl w:val="2"/>
    </w:pPr>
    <w:rPr>
      <w:rFonts w:ascii="Times New Roman" w:hAnsi="Times New Roman" w:eastAsia="Times New Roman" w:cs="Times New Roman"/>
      <w:b/>
      <w:bCs/>
      <w:sz w:val="24"/>
      <w:szCs w:val="24"/>
      <w:lang w:val="Cy-sr-SP" w:eastAsia="en-US" w:bidi="ar-SA"/>
    </w:rPr>
  </w:style>
  <w:style w:styleId="Heading3" w:type="paragraph">
    <w:name w:val="Heading 3"/>
    <w:basedOn w:val="Normal"/>
    <w:uiPriority w:val="1"/>
    <w:qFormat/>
    <w:pPr>
      <w:ind w:left="360"/>
      <w:jc w:val="both"/>
      <w:outlineLvl w:val="3"/>
    </w:pPr>
    <w:rPr>
      <w:rFonts w:ascii="Times New Roman" w:hAnsi="Times New Roman" w:eastAsia="Times New Roman" w:cs="Times New Roman"/>
      <w:b/>
      <w:bCs/>
      <w:i/>
      <w:iCs/>
      <w:sz w:val="24"/>
      <w:szCs w:val="24"/>
      <w:lang w:val="Cy-sr-SP" w:eastAsia="en-US" w:bidi="ar-SA"/>
    </w:rPr>
  </w:style>
  <w:style w:styleId="ListParagraph" w:type="paragraph">
    <w:name w:val="List Paragraph"/>
    <w:basedOn w:val="Normal"/>
    <w:uiPriority w:val="1"/>
    <w:qFormat/>
    <w:pPr>
      <w:ind w:left="1073" w:hanging="360"/>
      <w:jc w:val="both"/>
    </w:pPr>
    <w:rPr>
      <w:rFonts w:ascii="Times New Roman" w:hAnsi="Times New Roman" w:eastAsia="Times New Roman" w:cs="Times New Roman"/>
      <w:lang w:val="Cy-sr-SP" w:eastAsia="en-US" w:bidi="ar-SA"/>
    </w:rPr>
  </w:style>
  <w:style w:styleId="TableParagraph" w:type="paragraph">
    <w:name w:val="Table Paragraph"/>
    <w:basedOn w:val="Normal"/>
    <w:uiPriority w:val="1"/>
    <w:qFormat/>
    <w:pPr/>
    <w:rPr>
      <w:rFonts w:ascii="Times New Roman" w:hAnsi="Times New Roman" w:eastAsia="Times New Roman" w:cs="Times New Roman"/>
      <w:lang w:val="Cy-sr-SP"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sr.wikipedia.org/wiki/%D0%9C%D0%B5%D1%92%D1%83%D0%BD%D0%B0%D1%80%D0%BE%D0%B4%D0%BD%D0%B0_%D0%BE%D1%80%D0%B3%D0%B0%D0%BD%D0%B8%D0%B7%D0%B0%D1%86%D0%B8%D1%98%D0%B0" TargetMode="External"/><Relationship Id="rId7" Type="http://schemas.openxmlformats.org/officeDocument/2006/relationships/hyperlink" Target="https://eur-lex.europa.eu/legal-content/EN/TXT/?uri=CELEX%3A32020D1512" TargetMode="External"/><Relationship Id="rId8" Type="http://schemas.openxmlformats.org/officeDocument/2006/relationships/image" Target="media/image1.png"/><Relationship Id="rId9" Type="http://schemas.openxmlformats.org/officeDocument/2006/relationships/hyperlink" Target="https://publikacije.stat.gov.rs/G2017/Pdf/G20177069.pdf" TargetMode="External"/><Relationship Id="rId10" Type="http://schemas.openxmlformats.org/officeDocument/2006/relationships/image" Target="media/image2.png"/><Relationship Id="rId11" Type="http://schemas.openxmlformats.org/officeDocument/2006/relationships/hyperlink" Target="https://www.ilo.org/employment/areas/youth-employment/work-for-youth/publications/national-reports/WCMS_488799/lang--en/index.htm" TargetMode="External"/><Relationship Id="rId12" Type="http://schemas.openxmlformats.org/officeDocument/2006/relationships/hyperlink" Target="https://www.fes.de/en/youth-studies/" TargetMode="External"/><Relationship Id="rId13" Type="http://schemas.openxmlformats.org/officeDocument/2006/relationships/hyperlink" Target="http://ravnopravnost.gov.rs/rs/izvestaji/" TargetMode="External"/><Relationship Id="rId14" Type="http://schemas.openxmlformats.org/officeDocument/2006/relationships/hyperlink" Target="https://ec.europa.eu/employment_social/employment_analysis/lmp/lmp_esms.htm" TargetMode="External"/><Relationship Id="rId15" Type="http://schemas.openxmlformats.org/officeDocument/2006/relationships/image" Target="media/image3.png"/><Relationship Id="rId16" Type="http://schemas.openxmlformats.org/officeDocument/2006/relationships/hyperlink" Target="https://webgate.ec.europa.eu/empl/redisstat/databrowser/view/LMP_EXPSUMM/default/table?lang=en&amp;category=lmp_expend" TargetMode="Externa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image" Target="media/image4.jpe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footer" Target="footer4.xml"/><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footer" Target="footer5.xml"/><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footer" Target="footer6.xml"/><Relationship Id="rId84" Type="http://schemas.openxmlformats.org/officeDocument/2006/relationships/image" Target="media/image66.jpe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png"/><Relationship Id="rId90" Type="http://schemas.openxmlformats.org/officeDocument/2006/relationships/image" Target="media/image72.png"/><Relationship Id="rId91" Type="http://schemas.openxmlformats.org/officeDocument/2006/relationships/image" Target="media/image73.png"/><Relationship Id="rId92" Type="http://schemas.openxmlformats.org/officeDocument/2006/relationships/image" Target="media/image74.png"/><Relationship Id="rId93" Type="http://schemas.openxmlformats.org/officeDocument/2006/relationships/image" Target="media/image75.png"/><Relationship Id="rId94" Type="http://schemas.openxmlformats.org/officeDocument/2006/relationships/image" Target="media/image76.png"/><Relationship Id="rId95" Type="http://schemas.openxmlformats.org/officeDocument/2006/relationships/image" Target="media/image77.png"/><Relationship Id="rId96" Type="http://schemas.openxmlformats.org/officeDocument/2006/relationships/image" Target="media/image78.png"/><Relationship Id="rId97" Type="http://schemas.openxmlformats.org/officeDocument/2006/relationships/image" Target="media/image79.png"/><Relationship Id="rId98" Type="http://schemas.openxmlformats.org/officeDocument/2006/relationships/image" Target="media/image80.png"/><Relationship Id="rId99" Type="http://schemas.openxmlformats.org/officeDocument/2006/relationships/image" Target="media/image81.png"/><Relationship Id="rId100" Type="http://schemas.openxmlformats.org/officeDocument/2006/relationships/image" Target="media/image82.png"/><Relationship Id="rId101" Type="http://schemas.openxmlformats.org/officeDocument/2006/relationships/footer" Target="footer7.xml"/><Relationship Id="rId102" Type="http://schemas.openxmlformats.org/officeDocument/2006/relationships/image" Target="media/image83.png"/><Relationship Id="rId103" Type="http://schemas.openxmlformats.org/officeDocument/2006/relationships/image" Target="media/image84.png"/><Relationship Id="rId104" Type="http://schemas.openxmlformats.org/officeDocument/2006/relationships/image" Target="media/image85.png"/><Relationship Id="rId105" Type="http://schemas.openxmlformats.org/officeDocument/2006/relationships/image" Target="media/image86.png"/><Relationship Id="rId106" Type="http://schemas.openxmlformats.org/officeDocument/2006/relationships/image" Target="media/image87.png"/><Relationship Id="rId107" Type="http://schemas.openxmlformats.org/officeDocument/2006/relationships/image" Target="media/image88.png"/><Relationship Id="rId108" Type="http://schemas.openxmlformats.org/officeDocument/2006/relationships/image" Target="media/image89.png"/><Relationship Id="rId109" Type="http://schemas.openxmlformats.org/officeDocument/2006/relationships/image" Target="media/image90.png"/><Relationship Id="rId110" Type="http://schemas.openxmlformats.org/officeDocument/2006/relationships/image" Target="media/image91.png"/><Relationship Id="rId111" Type="http://schemas.openxmlformats.org/officeDocument/2006/relationships/image" Target="media/image92.png"/><Relationship Id="rId112" Type="http://schemas.openxmlformats.org/officeDocument/2006/relationships/image" Target="media/image93.png"/><Relationship Id="rId113" Type="http://schemas.openxmlformats.org/officeDocument/2006/relationships/image" Target="media/image94.png"/><Relationship Id="rId114" Type="http://schemas.openxmlformats.org/officeDocument/2006/relationships/image" Target="media/image95.png"/><Relationship Id="rId115" Type="http://schemas.openxmlformats.org/officeDocument/2006/relationships/image" Target="media/image96.png"/><Relationship Id="rId116" Type="http://schemas.openxmlformats.org/officeDocument/2006/relationships/image" Target="media/image97.pn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png"/><Relationship Id="rId126" Type="http://schemas.openxmlformats.org/officeDocument/2006/relationships/image" Target="media/image107.png"/><Relationship Id="rId127" Type="http://schemas.openxmlformats.org/officeDocument/2006/relationships/image" Target="media/image108.png"/><Relationship Id="rId128" Type="http://schemas.openxmlformats.org/officeDocument/2006/relationships/image" Target="media/image109.pn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2025-01-24T09:52:58Z</dcterms:created>
  <dcterms:modified xsi:type="dcterms:W3CDTF">2025-01-24T09:52:58Z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LastSaved">
    <vt:filetime>2025-01-24T00:00:00Z</vt:filetime>
  </property>
  <property fmtid="{D5CDD505-2E9C-101B-9397-08002B2CF9AE}" pid="4" name="Producer">
    <vt:lpwstr>iLovePDF</vt:lpwstr>
  </property>
</Properties>
</file>